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5D895" w14:textId="77777777" w:rsidR="00494331" w:rsidRDefault="00494331">
      <w:pPr>
        <w:spacing w:line="360" w:lineRule="auto"/>
        <w:ind w:right="-285"/>
        <w:jc w:val="center"/>
        <w:rPr>
          <w:b/>
        </w:rPr>
      </w:pPr>
    </w:p>
    <w:p w14:paraId="6B12AB83" w14:textId="77777777" w:rsidR="00494331" w:rsidRDefault="00000000">
      <w:pPr>
        <w:spacing w:line="360" w:lineRule="auto"/>
        <w:ind w:right="-285"/>
        <w:jc w:val="center"/>
      </w:pPr>
      <w:r>
        <w:rPr>
          <w:b/>
        </w:rPr>
        <w:t>TERMO DE REFERÊNCIA</w:t>
      </w:r>
    </w:p>
    <w:p w14:paraId="464AA332" w14:textId="77777777" w:rsidR="00494331" w:rsidRDefault="00494331">
      <w:pPr>
        <w:spacing w:line="360" w:lineRule="auto"/>
        <w:ind w:right="-285"/>
        <w:rPr>
          <w:b/>
        </w:rPr>
      </w:pPr>
    </w:p>
    <w:p w14:paraId="38639081" w14:textId="77777777" w:rsidR="00494331" w:rsidRDefault="00000000">
      <w:pPr>
        <w:pStyle w:val="PargrafodaLista"/>
        <w:numPr>
          <w:ilvl w:val="0"/>
          <w:numId w:val="1"/>
        </w:num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t>OBJETO</w:t>
      </w:r>
    </w:p>
    <w:p w14:paraId="5EAB6872" w14:textId="77777777" w:rsidR="00494331" w:rsidRDefault="00000000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1.1. </w:t>
      </w:r>
      <w:r>
        <w:rPr>
          <w:sz w:val="24"/>
          <w:szCs w:val="24"/>
          <w:shd w:val="clear" w:color="auto" w:fill="FFFFFF"/>
        </w:rPr>
        <w:t xml:space="preserve">O objeto é a aquisição de medicamentos, através de Dispensa de Licitação (dispensa de valor), conforme respaldo legal expresso no art. 75, inc. II, da Lei Federal 14.133/2021, no intuito de promover o atendimento total dos medicamentos disponibilizados na </w:t>
      </w:r>
      <w:proofErr w:type="spellStart"/>
      <w:r>
        <w:rPr>
          <w:sz w:val="24"/>
          <w:szCs w:val="24"/>
          <w:shd w:val="clear" w:color="auto" w:fill="FFFFFF"/>
        </w:rPr>
        <w:t>remume</w:t>
      </w:r>
      <w:proofErr w:type="spellEnd"/>
      <w:r>
        <w:rPr>
          <w:sz w:val="24"/>
          <w:szCs w:val="24"/>
          <w:shd w:val="clear" w:color="auto" w:fill="FFFFFF"/>
        </w:rPr>
        <w:t xml:space="preserve"> para não desatender a população, no âmbito do município de Fundão/sede, </w:t>
      </w:r>
      <w:proofErr w:type="gramStart"/>
      <w:r>
        <w:rPr>
          <w:sz w:val="24"/>
          <w:szCs w:val="24"/>
          <w:shd w:val="clear" w:color="auto" w:fill="FFFFFF"/>
        </w:rPr>
        <w:t>à</w:t>
      </w:r>
      <w:proofErr w:type="gramEnd"/>
      <w:r>
        <w:rPr>
          <w:sz w:val="24"/>
          <w:szCs w:val="24"/>
          <w:shd w:val="clear" w:color="auto" w:fill="FFFFFF"/>
        </w:rPr>
        <w:t xml:space="preserve"> ser disponibilizada nas dependências das especialidades médicas.</w:t>
      </w:r>
    </w:p>
    <w:p w14:paraId="70D2D778" w14:textId="77777777" w:rsidR="00494331" w:rsidRDefault="00494331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</w:p>
    <w:p w14:paraId="63A112AC" w14:textId="77777777" w:rsidR="00494331" w:rsidRDefault="00000000">
      <w:pPr>
        <w:pStyle w:val="PargrafodaLista"/>
        <w:widowControl w:val="0"/>
        <w:numPr>
          <w:ilvl w:val="1"/>
          <w:numId w:val="4"/>
        </w:numPr>
        <w:tabs>
          <w:tab w:val="left" w:pos="587"/>
        </w:tabs>
        <w:spacing w:line="360" w:lineRule="auto"/>
        <w:ind w:right="-285"/>
        <w:rPr>
          <w:sz w:val="24"/>
          <w:szCs w:val="24"/>
        </w:rPr>
      </w:pPr>
      <w:r>
        <w:rPr>
          <w:color w:val="000000"/>
          <w:sz w:val="24"/>
          <w:szCs w:val="24"/>
        </w:rPr>
        <w:t>Objeto a ser adquirido:</w:t>
      </w:r>
    </w:p>
    <w:tbl>
      <w:tblPr>
        <w:tblStyle w:val="Tabelacomgrade"/>
        <w:tblW w:w="864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776"/>
        <w:gridCol w:w="3631"/>
        <w:gridCol w:w="1103"/>
        <w:gridCol w:w="1132"/>
      </w:tblGrid>
      <w:tr w:rsidR="00494331" w14:paraId="22EB8003" w14:textId="77777777">
        <w:tc>
          <w:tcPr>
            <w:tcW w:w="2775" w:type="dxa"/>
            <w:shd w:val="clear" w:color="auto" w:fill="FFFFFF" w:themeFill="background1"/>
            <w:vAlign w:val="center"/>
          </w:tcPr>
          <w:p w14:paraId="355648E5" w14:textId="77777777" w:rsidR="00494331" w:rsidRDefault="00000000">
            <w:pPr>
              <w:snapToGrid w:val="0"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212529"/>
                <w:sz w:val="24"/>
                <w:szCs w:val="24"/>
              </w:rPr>
              <w:t>ITEM</w:t>
            </w:r>
          </w:p>
        </w:tc>
        <w:tc>
          <w:tcPr>
            <w:tcW w:w="3631" w:type="dxa"/>
            <w:shd w:val="clear" w:color="auto" w:fill="FFFFFF" w:themeFill="background1"/>
            <w:vAlign w:val="center"/>
          </w:tcPr>
          <w:p w14:paraId="4A374F0F" w14:textId="77777777" w:rsidR="00494331" w:rsidRDefault="00000000">
            <w:pPr>
              <w:snapToGrid w:val="0"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212529"/>
                <w:sz w:val="24"/>
                <w:szCs w:val="24"/>
              </w:rPr>
              <w:t>DESCRIÇÃO</w:t>
            </w:r>
          </w:p>
        </w:tc>
        <w:tc>
          <w:tcPr>
            <w:tcW w:w="1103" w:type="dxa"/>
            <w:shd w:val="clear" w:color="auto" w:fill="FFFFFF" w:themeFill="background1"/>
            <w:vAlign w:val="center"/>
          </w:tcPr>
          <w:p w14:paraId="46E0D26F" w14:textId="77777777" w:rsidR="00494331" w:rsidRDefault="00000000">
            <w:pPr>
              <w:snapToGrid w:val="0"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212529"/>
                <w:sz w:val="24"/>
                <w:szCs w:val="24"/>
              </w:rPr>
              <w:t>UND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9F5B9F3" w14:textId="77777777" w:rsidR="00494331" w:rsidRDefault="00000000">
            <w:pPr>
              <w:snapToGrid w:val="0"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212529"/>
                <w:sz w:val="24"/>
                <w:szCs w:val="24"/>
              </w:rPr>
              <w:t>QUANT.</w:t>
            </w:r>
          </w:p>
        </w:tc>
      </w:tr>
      <w:tr w:rsidR="00494331" w14:paraId="1371292C" w14:textId="77777777">
        <w:tc>
          <w:tcPr>
            <w:tcW w:w="2775" w:type="dxa"/>
            <w:vAlign w:val="center"/>
          </w:tcPr>
          <w:p w14:paraId="3F9AB9AC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 xml:space="preserve">DICLOFENACO </w:t>
            </w:r>
            <w:proofErr w:type="gramStart"/>
            <w:r>
              <w:rPr>
                <w:rFonts w:eastAsia="Calibri"/>
                <w:color w:val="212529"/>
                <w:sz w:val="21"/>
                <w:szCs w:val="21"/>
              </w:rPr>
              <w:t>DE  POTÁSSIO</w:t>
            </w:r>
            <w:proofErr w:type="gramEnd"/>
            <w:r>
              <w:rPr>
                <w:rFonts w:eastAsia="Calibri"/>
                <w:color w:val="212529"/>
                <w:sz w:val="21"/>
                <w:szCs w:val="21"/>
              </w:rPr>
              <w:t xml:space="preserve"> 50MG</w:t>
            </w:r>
          </w:p>
        </w:tc>
        <w:tc>
          <w:tcPr>
            <w:tcW w:w="3631" w:type="dxa"/>
          </w:tcPr>
          <w:p w14:paraId="2DD1D95F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DICLOFENACO DE POTÁSSIO 50MG COMPRIMIDO</w:t>
            </w:r>
            <w:r>
              <w:rPr>
                <w:rFonts w:eastAsia="Calibri"/>
                <w:color w:val="212529"/>
                <w:sz w:val="21"/>
                <w:szCs w:val="21"/>
              </w:rPr>
              <w:br/>
              <w:t xml:space="preserve">REVESTIDO  </w:t>
            </w:r>
          </w:p>
        </w:tc>
        <w:tc>
          <w:tcPr>
            <w:tcW w:w="1103" w:type="dxa"/>
            <w:vAlign w:val="center"/>
          </w:tcPr>
          <w:p w14:paraId="668CDBD7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COMP</w:t>
            </w:r>
          </w:p>
        </w:tc>
        <w:tc>
          <w:tcPr>
            <w:tcW w:w="1132" w:type="dxa"/>
            <w:vAlign w:val="center"/>
          </w:tcPr>
          <w:p w14:paraId="44DAA823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8000</w:t>
            </w:r>
          </w:p>
        </w:tc>
      </w:tr>
      <w:tr w:rsidR="00494331" w14:paraId="25736EB5" w14:textId="77777777">
        <w:tc>
          <w:tcPr>
            <w:tcW w:w="2775" w:type="dxa"/>
            <w:vAlign w:val="center"/>
          </w:tcPr>
          <w:p w14:paraId="77454A62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ESPIRONOLACTONA 25MG</w:t>
            </w:r>
          </w:p>
        </w:tc>
        <w:tc>
          <w:tcPr>
            <w:tcW w:w="3631" w:type="dxa"/>
            <w:vAlign w:val="center"/>
          </w:tcPr>
          <w:p w14:paraId="384383CB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 xml:space="preserve">ESPIRONOLACTONA 25 MG COMPRIMIDO </w:t>
            </w:r>
          </w:p>
        </w:tc>
        <w:tc>
          <w:tcPr>
            <w:tcW w:w="1103" w:type="dxa"/>
            <w:vAlign w:val="center"/>
          </w:tcPr>
          <w:p w14:paraId="1123D5B2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COMP</w:t>
            </w:r>
          </w:p>
        </w:tc>
        <w:tc>
          <w:tcPr>
            <w:tcW w:w="1132" w:type="dxa"/>
            <w:vAlign w:val="center"/>
          </w:tcPr>
          <w:p w14:paraId="26C9C410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8000</w:t>
            </w:r>
          </w:p>
        </w:tc>
      </w:tr>
      <w:tr w:rsidR="00494331" w14:paraId="2A516AC9" w14:textId="77777777">
        <w:tc>
          <w:tcPr>
            <w:tcW w:w="2775" w:type="dxa"/>
            <w:vAlign w:val="center"/>
          </w:tcPr>
          <w:p w14:paraId="586AE7E0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ALBENDAZOL 400MG</w:t>
            </w:r>
          </w:p>
        </w:tc>
        <w:tc>
          <w:tcPr>
            <w:tcW w:w="3631" w:type="dxa"/>
            <w:vAlign w:val="center"/>
          </w:tcPr>
          <w:p w14:paraId="184E5937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ALBENDAZOL 400MG COMPRIMIDO MASTIGÁVEL</w:t>
            </w:r>
          </w:p>
        </w:tc>
        <w:tc>
          <w:tcPr>
            <w:tcW w:w="1103" w:type="dxa"/>
            <w:vAlign w:val="center"/>
          </w:tcPr>
          <w:p w14:paraId="10C1487C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COMP</w:t>
            </w:r>
          </w:p>
        </w:tc>
        <w:tc>
          <w:tcPr>
            <w:tcW w:w="1132" w:type="dxa"/>
            <w:vAlign w:val="center"/>
          </w:tcPr>
          <w:p w14:paraId="620664AF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1500</w:t>
            </w:r>
          </w:p>
        </w:tc>
      </w:tr>
      <w:tr w:rsidR="00494331" w14:paraId="40B04CED" w14:textId="77777777">
        <w:tc>
          <w:tcPr>
            <w:tcW w:w="2775" w:type="dxa"/>
            <w:vAlign w:val="center"/>
          </w:tcPr>
          <w:p w14:paraId="107A795D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ISOSSORBIDA 20MG</w:t>
            </w:r>
          </w:p>
        </w:tc>
        <w:tc>
          <w:tcPr>
            <w:tcW w:w="3631" w:type="dxa"/>
            <w:vAlign w:val="center"/>
          </w:tcPr>
          <w:p w14:paraId="458E9E2E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ISOSSORBIDA, MONONITRATO 20 MG COMPRIMIDO</w:t>
            </w:r>
          </w:p>
        </w:tc>
        <w:tc>
          <w:tcPr>
            <w:tcW w:w="1103" w:type="dxa"/>
            <w:vAlign w:val="center"/>
          </w:tcPr>
          <w:p w14:paraId="0B5729CC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COMP</w:t>
            </w:r>
          </w:p>
        </w:tc>
        <w:tc>
          <w:tcPr>
            <w:tcW w:w="1132" w:type="dxa"/>
            <w:vAlign w:val="center"/>
          </w:tcPr>
          <w:p w14:paraId="29EB3DD8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5000</w:t>
            </w:r>
          </w:p>
        </w:tc>
      </w:tr>
      <w:tr w:rsidR="00494331" w14:paraId="0E26F898" w14:textId="77777777">
        <w:tc>
          <w:tcPr>
            <w:tcW w:w="2775" w:type="dxa"/>
            <w:vAlign w:val="center"/>
          </w:tcPr>
          <w:p w14:paraId="4684088C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NIFEDIPINO 20MG</w:t>
            </w:r>
          </w:p>
        </w:tc>
        <w:tc>
          <w:tcPr>
            <w:tcW w:w="3631" w:type="dxa"/>
            <w:vAlign w:val="center"/>
          </w:tcPr>
          <w:p w14:paraId="5248C4A4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NIFEDIPINO 20 MG COMPRIMIDO</w:t>
            </w:r>
          </w:p>
        </w:tc>
        <w:tc>
          <w:tcPr>
            <w:tcW w:w="1103" w:type="dxa"/>
            <w:vAlign w:val="center"/>
          </w:tcPr>
          <w:p w14:paraId="4CACA2FD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COMP</w:t>
            </w:r>
          </w:p>
        </w:tc>
        <w:tc>
          <w:tcPr>
            <w:tcW w:w="1132" w:type="dxa"/>
            <w:vAlign w:val="center"/>
          </w:tcPr>
          <w:p w14:paraId="15F5B4D4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3000</w:t>
            </w:r>
          </w:p>
        </w:tc>
      </w:tr>
      <w:tr w:rsidR="00494331" w14:paraId="6AB29FB7" w14:textId="77777777">
        <w:tc>
          <w:tcPr>
            <w:tcW w:w="2775" w:type="dxa"/>
            <w:tcBorders>
              <w:top w:val="nil"/>
            </w:tcBorders>
            <w:vAlign w:val="center"/>
          </w:tcPr>
          <w:p w14:paraId="081B8EF4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PAROXETINA 20MG</w:t>
            </w:r>
          </w:p>
        </w:tc>
        <w:tc>
          <w:tcPr>
            <w:tcW w:w="3631" w:type="dxa"/>
            <w:tcBorders>
              <w:top w:val="nil"/>
            </w:tcBorders>
            <w:vAlign w:val="center"/>
          </w:tcPr>
          <w:p w14:paraId="2447CECE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CLORIDRATO DE PAROXETINA 20MG COMPRIMIDO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14:paraId="71D57619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COMP</w:t>
            </w:r>
          </w:p>
        </w:tc>
        <w:tc>
          <w:tcPr>
            <w:tcW w:w="1132" w:type="dxa"/>
            <w:tcBorders>
              <w:top w:val="nil"/>
            </w:tcBorders>
            <w:vAlign w:val="center"/>
          </w:tcPr>
          <w:p w14:paraId="25207EF1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10000</w:t>
            </w:r>
          </w:p>
        </w:tc>
      </w:tr>
      <w:tr w:rsidR="00494331" w14:paraId="07B33BA3" w14:textId="77777777">
        <w:tc>
          <w:tcPr>
            <w:tcW w:w="2775" w:type="dxa"/>
            <w:tcBorders>
              <w:top w:val="nil"/>
            </w:tcBorders>
            <w:vAlign w:val="center"/>
          </w:tcPr>
          <w:p w14:paraId="61A62A36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SAIS PARA REIDRATAÇÃO ORAL</w:t>
            </w:r>
          </w:p>
        </w:tc>
        <w:tc>
          <w:tcPr>
            <w:tcW w:w="3631" w:type="dxa"/>
            <w:tcBorders>
              <w:top w:val="nil"/>
            </w:tcBorders>
            <w:vAlign w:val="center"/>
          </w:tcPr>
          <w:p w14:paraId="3EAE47B0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 xml:space="preserve">SAIS PARA REIDRATAÇÃO ORAL (CLORETO DE SÓDIO, GLICOSE ANIDRA, CLORETO DE POTÁSSIO, CITRATO DE SÓDIO DIHIDRATADO PÓ PARA SOLUÇÃO ORAL - ENVELOPE 27,9G 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14:paraId="3F00FE42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SACHE</w:t>
            </w:r>
          </w:p>
        </w:tc>
        <w:tc>
          <w:tcPr>
            <w:tcW w:w="1132" w:type="dxa"/>
            <w:tcBorders>
              <w:top w:val="nil"/>
            </w:tcBorders>
            <w:vAlign w:val="center"/>
          </w:tcPr>
          <w:p w14:paraId="24270338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10000</w:t>
            </w:r>
          </w:p>
        </w:tc>
      </w:tr>
      <w:tr w:rsidR="00494331" w14:paraId="7BBD7E6B" w14:textId="77777777">
        <w:tc>
          <w:tcPr>
            <w:tcW w:w="2775" w:type="dxa"/>
            <w:tcBorders>
              <w:top w:val="nil"/>
            </w:tcBorders>
            <w:vAlign w:val="center"/>
          </w:tcPr>
          <w:p w14:paraId="020389DA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AMOXICILINA 50MG/ML</w:t>
            </w:r>
          </w:p>
        </w:tc>
        <w:tc>
          <w:tcPr>
            <w:tcW w:w="3631" w:type="dxa"/>
            <w:tcBorders>
              <w:top w:val="nil"/>
            </w:tcBorders>
            <w:vAlign w:val="center"/>
          </w:tcPr>
          <w:p w14:paraId="5CCC150F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MEDICAMENTOS GERAIS DE USO HUMANO;</w:t>
            </w:r>
          </w:p>
          <w:p w14:paraId="1C50C861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PRINCIPIO/CONCENTRACAO: AMOXICILINA</w:t>
            </w:r>
          </w:p>
          <w:p w14:paraId="6223F93E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50MG/ML; FORMA FARMACEUTICA: Pó PARA</w:t>
            </w:r>
          </w:p>
          <w:p w14:paraId="191DAEB8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SUSPENSAO ORAL; FORMA DE</w:t>
            </w:r>
          </w:p>
          <w:p w14:paraId="22C4919A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APRESENTACAO: FRASCO + COPO OU</w:t>
            </w:r>
          </w:p>
          <w:p w14:paraId="6A1282BB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 xml:space="preserve">SERINGA DOSADORA; VIA </w:t>
            </w:r>
            <w:r>
              <w:rPr>
                <w:rFonts w:eastAsia="Calibri"/>
                <w:color w:val="212529"/>
                <w:sz w:val="21"/>
                <w:szCs w:val="21"/>
              </w:rPr>
              <w:lastRenderedPageBreak/>
              <w:t>ADMINISTRACAO:</w:t>
            </w:r>
          </w:p>
          <w:p w14:paraId="632E2C34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ORAL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14:paraId="7D62B2C9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lastRenderedPageBreak/>
              <w:t>FRASCO</w:t>
            </w:r>
          </w:p>
        </w:tc>
        <w:tc>
          <w:tcPr>
            <w:tcW w:w="1132" w:type="dxa"/>
            <w:tcBorders>
              <w:top w:val="nil"/>
            </w:tcBorders>
            <w:vAlign w:val="center"/>
          </w:tcPr>
          <w:p w14:paraId="4E71B870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1500</w:t>
            </w:r>
          </w:p>
        </w:tc>
      </w:tr>
      <w:tr w:rsidR="00494331" w14:paraId="5BE1BF86" w14:textId="77777777">
        <w:tc>
          <w:tcPr>
            <w:tcW w:w="2775" w:type="dxa"/>
            <w:tcBorders>
              <w:top w:val="nil"/>
            </w:tcBorders>
            <w:vAlign w:val="center"/>
          </w:tcPr>
          <w:p w14:paraId="2FA7D7FE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CEFALEXINA 500MG</w:t>
            </w:r>
          </w:p>
        </w:tc>
        <w:tc>
          <w:tcPr>
            <w:tcW w:w="3631" w:type="dxa"/>
            <w:tcBorders>
              <w:top w:val="nil"/>
            </w:tcBorders>
            <w:vAlign w:val="center"/>
          </w:tcPr>
          <w:p w14:paraId="5515EE55" w14:textId="77777777" w:rsidR="00494331" w:rsidRDefault="00000000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CEFALEXINA 500MG COMPRIMIDO/CAPSULA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14:paraId="45652286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COMP</w:t>
            </w:r>
          </w:p>
        </w:tc>
        <w:tc>
          <w:tcPr>
            <w:tcW w:w="1132" w:type="dxa"/>
            <w:tcBorders>
              <w:top w:val="nil"/>
            </w:tcBorders>
            <w:vAlign w:val="center"/>
          </w:tcPr>
          <w:p w14:paraId="53EA3AE2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10000</w:t>
            </w:r>
          </w:p>
        </w:tc>
      </w:tr>
      <w:tr w:rsidR="00494331" w14:paraId="3D85650E" w14:textId="77777777">
        <w:tc>
          <w:tcPr>
            <w:tcW w:w="2775" w:type="dxa"/>
            <w:tcBorders>
              <w:top w:val="nil"/>
            </w:tcBorders>
            <w:vAlign w:val="center"/>
          </w:tcPr>
          <w:p w14:paraId="7E7D6632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TENOXICAM PÓ 20MG/ML</w:t>
            </w:r>
          </w:p>
        </w:tc>
        <w:tc>
          <w:tcPr>
            <w:tcW w:w="3631" w:type="dxa"/>
            <w:tcBorders>
              <w:top w:val="nil"/>
            </w:tcBorders>
            <w:vAlign w:val="center"/>
          </w:tcPr>
          <w:p w14:paraId="2BC6894C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 xml:space="preserve">TENOXICAM 20 MG PÓ LIÓFILICO + DILUENTE 2 ML 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14:paraId="7A8DE945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FRASCO</w:t>
            </w:r>
          </w:p>
        </w:tc>
        <w:tc>
          <w:tcPr>
            <w:tcW w:w="1132" w:type="dxa"/>
            <w:tcBorders>
              <w:top w:val="nil"/>
            </w:tcBorders>
            <w:vAlign w:val="center"/>
          </w:tcPr>
          <w:p w14:paraId="313AF2E7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200</w:t>
            </w:r>
          </w:p>
        </w:tc>
      </w:tr>
      <w:tr w:rsidR="00494331" w14:paraId="6B116D90" w14:textId="77777777">
        <w:tc>
          <w:tcPr>
            <w:tcW w:w="2775" w:type="dxa"/>
            <w:tcBorders>
              <w:top w:val="nil"/>
            </w:tcBorders>
            <w:vAlign w:val="center"/>
          </w:tcPr>
          <w:p w14:paraId="41829B75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BROMOPRIDA 5MG/ML</w:t>
            </w:r>
          </w:p>
        </w:tc>
        <w:tc>
          <w:tcPr>
            <w:tcW w:w="3631" w:type="dxa"/>
            <w:tcBorders>
              <w:top w:val="nil"/>
            </w:tcBorders>
            <w:vAlign w:val="center"/>
          </w:tcPr>
          <w:p w14:paraId="4A92BB62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 xml:space="preserve">BROMOPRIDA 5 MG/ML SOLUÇÃO INJETÁVEL AMPOLA -1ML 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14:paraId="7A2B7D4F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INJ</w:t>
            </w:r>
          </w:p>
        </w:tc>
        <w:tc>
          <w:tcPr>
            <w:tcW w:w="1132" w:type="dxa"/>
            <w:tcBorders>
              <w:top w:val="nil"/>
            </w:tcBorders>
            <w:vAlign w:val="center"/>
          </w:tcPr>
          <w:p w14:paraId="71733050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3000</w:t>
            </w:r>
          </w:p>
        </w:tc>
      </w:tr>
      <w:tr w:rsidR="00494331" w14:paraId="7C7A4027" w14:textId="77777777">
        <w:tc>
          <w:tcPr>
            <w:tcW w:w="2775" w:type="dxa"/>
            <w:tcBorders>
              <w:top w:val="nil"/>
            </w:tcBorders>
            <w:vAlign w:val="center"/>
          </w:tcPr>
          <w:p w14:paraId="16A51AEF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 xml:space="preserve">CETOPROFENO 100MG/ML </w:t>
            </w:r>
          </w:p>
        </w:tc>
        <w:tc>
          <w:tcPr>
            <w:tcW w:w="3631" w:type="dxa"/>
            <w:tcBorders>
              <w:top w:val="nil"/>
            </w:tcBorders>
            <w:vAlign w:val="center"/>
          </w:tcPr>
          <w:p w14:paraId="570712C6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CETOPROFENO 100</w:t>
            </w:r>
            <w:proofErr w:type="gramStart"/>
            <w:r>
              <w:rPr>
                <w:rFonts w:eastAsia="Calibri"/>
                <w:color w:val="212529"/>
                <w:sz w:val="21"/>
                <w:szCs w:val="21"/>
              </w:rPr>
              <w:t>MG .</w:t>
            </w:r>
            <w:proofErr w:type="gramEnd"/>
            <w:r>
              <w:rPr>
                <w:rFonts w:eastAsia="Calibri"/>
                <w:color w:val="212529"/>
                <w:sz w:val="21"/>
                <w:szCs w:val="21"/>
              </w:rPr>
              <w:t xml:space="preserve"> INJETÁVEL IV. PÓ LIÓFILO – FRASCO AMPOLA 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14:paraId="45680880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INJ</w:t>
            </w:r>
          </w:p>
        </w:tc>
        <w:tc>
          <w:tcPr>
            <w:tcW w:w="1132" w:type="dxa"/>
            <w:tcBorders>
              <w:top w:val="nil"/>
            </w:tcBorders>
            <w:vAlign w:val="center"/>
          </w:tcPr>
          <w:p w14:paraId="431AF6C8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1500</w:t>
            </w:r>
          </w:p>
        </w:tc>
      </w:tr>
      <w:tr w:rsidR="00494331" w14:paraId="187C57FE" w14:textId="77777777">
        <w:tc>
          <w:tcPr>
            <w:tcW w:w="2775" w:type="dxa"/>
            <w:tcBorders>
              <w:top w:val="nil"/>
            </w:tcBorders>
            <w:vAlign w:val="center"/>
          </w:tcPr>
          <w:p w14:paraId="78FC0EC7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ISOSSORBIDA 5MG SUBLINGUAL</w:t>
            </w:r>
          </w:p>
        </w:tc>
        <w:tc>
          <w:tcPr>
            <w:tcW w:w="3631" w:type="dxa"/>
            <w:tcBorders>
              <w:top w:val="nil"/>
            </w:tcBorders>
            <w:vAlign w:val="center"/>
          </w:tcPr>
          <w:p w14:paraId="78CFD6CF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ISOSSORBIDA, DINITRATO 5 MG COMPRIMIDO SUBLINGUAL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14:paraId="5870C067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COMP</w:t>
            </w:r>
          </w:p>
        </w:tc>
        <w:tc>
          <w:tcPr>
            <w:tcW w:w="1132" w:type="dxa"/>
            <w:tcBorders>
              <w:top w:val="nil"/>
            </w:tcBorders>
            <w:vAlign w:val="center"/>
          </w:tcPr>
          <w:p w14:paraId="78921D56" w14:textId="77777777" w:rsidR="00494331" w:rsidRDefault="00000000">
            <w:pPr>
              <w:snapToGrid w:val="0"/>
              <w:jc w:val="center"/>
              <w:rPr>
                <w:color w:val="212529"/>
                <w:sz w:val="21"/>
                <w:szCs w:val="21"/>
              </w:rPr>
            </w:pPr>
            <w:r>
              <w:rPr>
                <w:rFonts w:eastAsia="Calibri"/>
                <w:color w:val="212529"/>
                <w:sz w:val="21"/>
                <w:szCs w:val="21"/>
              </w:rPr>
              <w:t>1000</w:t>
            </w:r>
          </w:p>
        </w:tc>
      </w:tr>
    </w:tbl>
    <w:p w14:paraId="7548668A" w14:textId="77777777" w:rsidR="00494331" w:rsidRDefault="00494331">
      <w:pPr>
        <w:tabs>
          <w:tab w:val="left" w:pos="142"/>
          <w:tab w:val="left" w:pos="709"/>
          <w:tab w:val="left" w:pos="851"/>
        </w:tabs>
        <w:spacing w:before="7" w:line="360" w:lineRule="auto"/>
        <w:ind w:right="137"/>
        <w:rPr>
          <w:color w:val="000000"/>
          <w:sz w:val="24"/>
          <w:szCs w:val="24"/>
        </w:rPr>
      </w:pPr>
    </w:p>
    <w:p w14:paraId="7592AFF8" w14:textId="77777777" w:rsidR="00494331" w:rsidRDefault="00000000">
      <w:pPr>
        <w:tabs>
          <w:tab w:val="left" w:pos="142"/>
          <w:tab w:val="left" w:pos="709"/>
          <w:tab w:val="left" w:pos="851"/>
        </w:tabs>
        <w:spacing w:before="7" w:line="360" w:lineRule="auto"/>
        <w:ind w:right="-143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O critério de seleção do fornecedor adotado para a aquisição do objeto será o de </w:t>
      </w:r>
      <w:r>
        <w:rPr>
          <w:b/>
          <w:bCs/>
          <w:color w:val="000000"/>
          <w:sz w:val="24"/>
          <w:szCs w:val="24"/>
        </w:rPr>
        <w:t>menor preço.</w:t>
      </w:r>
    </w:p>
    <w:p w14:paraId="1775B668" w14:textId="77777777" w:rsidR="00494331" w:rsidRDefault="00494331">
      <w:pPr>
        <w:spacing w:line="360" w:lineRule="auto"/>
        <w:ind w:right="-143"/>
        <w:rPr>
          <w:b/>
        </w:rPr>
      </w:pPr>
    </w:p>
    <w:p w14:paraId="19E36A42" w14:textId="77777777" w:rsidR="00494331" w:rsidRDefault="00000000">
      <w:pPr>
        <w:spacing w:line="360" w:lineRule="auto"/>
        <w:ind w:right="-143"/>
        <w:rPr>
          <w:sz w:val="24"/>
          <w:szCs w:val="24"/>
        </w:rPr>
      </w:pPr>
      <w:r>
        <w:rPr>
          <w:b/>
          <w:sz w:val="24"/>
          <w:szCs w:val="24"/>
        </w:rPr>
        <w:t>2. JUSTIFICATIVA</w:t>
      </w:r>
    </w:p>
    <w:p w14:paraId="44701B7A" w14:textId="77777777" w:rsidR="00494331" w:rsidRDefault="00000000">
      <w:pPr>
        <w:pStyle w:val="Corpodetexto"/>
        <w:spacing w:line="360" w:lineRule="auto"/>
        <w:ind w:right="-143"/>
        <w:jc w:val="both"/>
        <w:rPr>
          <w:rFonts w:hint="eastAsia"/>
          <w:sz w:val="23"/>
          <w:szCs w:val="23"/>
        </w:rPr>
      </w:pPr>
      <w:r>
        <w:rPr>
          <w:rFonts w:ascii="Arial" w:hAnsi="Arial" w:cs="Arial"/>
          <w:color w:val="222222"/>
        </w:rPr>
        <w:t xml:space="preserve">2.1. A presente contratação tem como objetivo a </w:t>
      </w:r>
      <w:r>
        <w:rPr>
          <w:rStyle w:val="Forte"/>
          <w:rFonts w:ascii="Arial" w:hAnsi="Arial" w:cs="Arial"/>
          <w:color w:val="222222"/>
        </w:rPr>
        <w:t>aquisição através de Dispensa de Licitação (dispensa de valor), de medicamentos essenciais</w:t>
      </w:r>
      <w:r>
        <w:rPr>
          <w:rFonts w:ascii="Arial" w:hAnsi="Arial" w:cs="Arial"/>
          <w:color w:val="222222"/>
        </w:rPr>
        <w:t xml:space="preserve">, visando garantir a continuidade e a qualidade da assistência farmacêutica no âmbito do município de Fundão/ES. A medida se faz necessária diante da </w:t>
      </w:r>
      <w:r>
        <w:rPr>
          <w:rStyle w:val="Forte"/>
          <w:rFonts w:ascii="Arial" w:hAnsi="Arial" w:cs="Arial"/>
          <w:color w:val="222222"/>
        </w:rPr>
        <w:t>iminência de desabastecimento</w:t>
      </w:r>
      <w:r>
        <w:rPr>
          <w:rFonts w:ascii="Arial" w:hAnsi="Arial" w:cs="Arial"/>
          <w:color w:val="222222"/>
        </w:rPr>
        <w:t xml:space="preserve"> em unidades de saúde municipais, situação que compromete o atendimento regular da população e a execução das políticas públicas de saúde.</w:t>
      </w:r>
    </w:p>
    <w:p w14:paraId="1BDAE553" w14:textId="77777777" w:rsidR="00494331" w:rsidRDefault="00000000">
      <w:pPr>
        <w:pStyle w:val="Corpodetexto"/>
        <w:widowControl/>
        <w:spacing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2.2. Os medicamentos listados </w:t>
      </w:r>
      <w:proofErr w:type="spellStart"/>
      <w:r>
        <w:rPr>
          <w:rFonts w:ascii="Arial" w:hAnsi="Arial" w:cs="Arial"/>
          <w:color w:val="222222"/>
        </w:rPr>
        <w:t>neste</w:t>
      </w:r>
      <w:proofErr w:type="spellEnd"/>
      <w:r>
        <w:rPr>
          <w:rFonts w:ascii="Arial" w:hAnsi="Arial" w:cs="Arial"/>
          <w:color w:val="222222"/>
        </w:rPr>
        <w:t xml:space="preserve"> Termo de Referência compõem a </w:t>
      </w:r>
      <w:r>
        <w:rPr>
          <w:rStyle w:val="Forte"/>
          <w:rFonts w:ascii="Arial" w:hAnsi="Arial" w:cs="Arial"/>
          <w:color w:val="222222"/>
        </w:rPr>
        <w:t>Relação Municipal de Medicamentos Essenciais (REMUME)</w:t>
      </w:r>
      <w:r>
        <w:rPr>
          <w:rFonts w:ascii="Arial" w:hAnsi="Arial" w:cs="Arial"/>
          <w:color w:val="222222"/>
        </w:rPr>
        <w:t xml:space="preserve"> e/ou são de uso rotineiro nos serviços de Atenção Primária à Saúde (APS) e nos atendimentos de urgência e emergência, sendo indispensáveis para o tratamento de condições clínicas agudas e crônicas.</w:t>
      </w:r>
    </w:p>
    <w:p w14:paraId="379C5800" w14:textId="77777777" w:rsidR="00494331" w:rsidRDefault="00000000">
      <w:pPr>
        <w:pStyle w:val="Corpodetexto"/>
        <w:widowControl/>
        <w:spacing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2.3. </w:t>
      </w:r>
      <w:r>
        <w:rPr>
          <w:rStyle w:val="Forte"/>
          <w:rFonts w:ascii="Arial" w:hAnsi="Arial" w:cs="Arial"/>
          <w:color w:val="222222"/>
          <w:shd w:val="clear" w:color="auto" w:fill="FFFFFF"/>
        </w:rPr>
        <w:t xml:space="preserve">Ressalta-se que os medicamentos solicitados </w:t>
      </w:r>
      <w:proofErr w:type="gramStart"/>
      <w:r>
        <w:rPr>
          <w:rStyle w:val="Forte"/>
          <w:rFonts w:ascii="Arial" w:hAnsi="Arial" w:cs="Arial"/>
          <w:color w:val="222222"/>
          <w:shd w:val="clear" w:color="auto" w:fill="FFFFFF"/>
        </w:rPr>
        <w:t>encontram-se</w:t>
      </w:r>
      <w:proofErr w:type="gramEnd"/>
      <w:r>
        <w:rPr>
          <w:rStyle w:val="Forte"/>
          <w:rFonts w:ascii="Arial" w:hAnsi="Arial" w:cs="Arial"/>
          <w:color w:val="222222"/>
          <w:shd w:val="clear" w:color="auto" w:fill="FFFFFF"/>
        </w:rPr>
        <w:t xml:space="preserve"> sem ata vigente no sistema SERP do estado e no consórcio </w:t>
      </w:r>
      <w:proofErr w:type="spellStart"/>
      <w:r>
        <w:rPr>
          <w:rStyle w:val="Forte"/>
          <w:rFonts w:ascii="Arial" w:hAnsi="Arial" w:cs="Arial"/>
          <w:color w:val="222222"/>
          <w:shd w:val="clear" w:color="auto" w:fill="FFFFFF"/>
        </w:rPr>
        <w:t>polinorte</w:t>
      </w:r>
      <w:proofErr w:type="spellEnd"/>
      <w:r>
        <w:rPr>
          <w:rStyle w:val="Forte"/>
          <w:rFonts w:ascii="Arial" w:hAnsi="Arial" w:cs="Arial"/>
          <w:color w:val="222222"/>
          <w:shd w:val="clear" w:color="auto" w:fill="FFFFFF"/>
        </w:rPr>
        <w:t xml:space="preserve"> sendo esclarecido tal necessidade de tal ata emergencial</w:t>
      </w:r>
      <w:r>
        <w:rPr>
          <w:rFonts w:ascii="Arial" w:hAnsi="Arial" w:cs="Arial"/>
          <w:color w:val="222222"/>
        </w:rPr>
        <w:t xml:space="preserve">, tornou-se necessária a adoção da </w:t>
      </w:r>
      <w:r>
        <w:rPr>
          <w:rStyle w:val="Forte"/>
          <w:rFonts w:ascii="Arial" w:hAnsi="Arial" w:cs="Arial"/>
          <w:color w:val="222222"/>
        </w:rPr>
        <w:t>Dispensa de Licitação</w:t>
      </w:r>
      <w:r>
        <w:rPr>
          <w:rFonts w:ascii="Arial" w:hAnsi="Arial" w:cs="Arial"/>
          <w:color w:val="222222"/>
        </w:rPr>
        <w:t xml:space="preserve">, com fundamento no </w:t>
      </w:r>
      <w:r>
        <w:rPr>
          <w:rStyle w:val="Forte"/>
          <w:rFonts w:ascii="Arial" w:hAnsi="Arial" w:cs="Arial"/>
          <w:color w:val="222222"/>
        </w:rPr>
        <w:t xml:space="preserve">art. 75, inciso II, da </w:t>
      </w:r>
      <w:r>
        <w:rPr>
          <w:rStyle w:val="Forte"/>
          <w:rFonts w:ascii="Arial" w:hAnsi="Arial" w:cs="Arial"/>
          <w:color w:val="222222"/>
        </w:rPr>
        <w:lastRenderedPageBreak/>
        <w:t>Lei Federal nº 14.133/2021</w:t>
      </w:r>
      <w:r>
        <w:rPr>
          <w:rFonts w:ascii="Arial" w:hAnsi="Arial" w:cs="Arial"/>
          <w:color w:val="222222"/>
        </w:rPr>
        <w:t>, para garantir o abastecimento imediato até a conclusão do certame definitivo.</w:t>
      </w:r>
    </w:p>
    <w:p w14:paraId="03E8D058" w14:textId="77777777" w:rsidR="00494331" w:rsidRDefault="00000000">
      <w:pPr>
        <w:pStyle w:val="Corpodetexto"/>
        <w:widowControl/>
        <w:spacing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2.4. A ausência desses medicamentos acarreta risco à continuidade do tratamento de pacientes já em acompanhamento, podendo resultar em agravamento de quadros clínicos, aumento de internações hospitalares e sobrecarga da rede de urgência e emergência.</w:t>
      </w:r>
    </w:p>
    <w:p w14:paraId="158D795E" w14:textId="77777777" w:rsidR="00494331" w:rsidRDefault="00000000">
      <w:pPr>
        <w:pStyle w:val="Corpodetexto"/>
        <w:widowControl/>
        <w:spacing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2.5. Dessa forma, a contratação por dispensa visa:</w:t>
      </w:r>
    </w:p>
    <w:p w14:paraId="6F75C3DE" w14:textId="77777777" w:rsidR="00494331" w:rsidRDefault="00000000">
      <w:pPr>
        <w:pStyle w:val="Corpodetexto"/>
        <w:widowControl/>
        <w:numPr>
          <w:ilvl w:val="0"/>
          <w:numId w:val="5"/>
        </w:numPr>
        <w:tabs>
          <w:tab w:val="clear" w:pos="709"/>
          <w:tab w:val="left" w:pos="0"/>
        </w:tabs>
        <w:spacing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Restabelecer o estoque mínimo de medicamentos essenciais nas farmácias municipais e unidades de saúde; </w:t>
      </w:r>
    </w:p>
    <w:p w14:paraId="13E808BF" w14:textId="77777777" w:rsidR="00494331" w:rsidRDefault="00000000">
      <w:pPr>
        <w:pStyle w:val="Corpodetexto"/>
        <w:widowControl/>
        <w:numPr>
          <w:ilvl w:val="0"/>
          <w:numId w:val="5"/>
        </w:numPr>
        <w:tabs>
          <w:tab w:val="clear" w:pos="709"/>
          <w:tab w:val="left" w:pos="0"/>
        </w:tabs>
        <w:spacing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Evitar a interrupção de tratamentos contínuos e de primeira escolha; </w:t>
      </w:r>
    </w:p>
    <w:p w14:paraId="47A44CD8" w14:textId="77777777" w:rsidR="00494331" w:rsidRDefault="00000000">
      <w:pPr>
        <w:pStyle w:val="Corpodetexto"/>
        <w:widowControl/>
        <w:numPr>
          <w:ilvl w:val="0"/>
          <w:numId w:val="5"/>
        </w:numPr>
        <w:tabs>
          <w:tab w:val="clear" w:pos="709"/>
          <w:tab w:val="left" w:pos="0"/>
        </w:tabs>
        <w:spacing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Assegurar a eficiência e integralidade do cuidado farmacoterapêutico oferecido à população; </w:t>
      </w:r>
    </w:p>
    <w:p w14:paraId="0524E2EC" w14:textId="77777777" w:rsidR="00494331" w:rsidRDefault="00000000">
      <w:pPr>
        <w:pStyle w:val="Corpodetexto"/>
        <w:widowControl/>
        <w:numPr>
          <w:ilvl w:val="0"/>
          <w:numId w:val="5"/>
        </w:numPr>
        <w:tabs>
          <w:tab w:val="clear" w:pos="709"/>
          <w:tab w:val="left" w:pos="0"/>
        </w:tabs>
        <w:spacing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Garantir o cumprimento das diretrizes da Política Nacional de Assistência Farmacêutica (PNAF) e da Atenção Primária à Saúde (APS). </w:t>
      </w:r>
    </w:p>
    <w:p w14:paraId="73223326" w14:textId="77777777" w:rsidR="00494331" w:rsidRDefault="00000000">
      <w:pPr>
        <w:pStyle w:val="Corpodetexto"/>
        <w:widowControl/>
        <w:spacing w:line="360" w:lineRule="auto"/>
        <w:jc w:val="both"/>
        <w:rPr>
          <w:rFonts w:hint="eastAsia"/>
        </w:rPr>
      </w:pPr>
      <w:r>
        <w:rPr>
          <w:rFonts w:ascii="Arial" w:hAnsi="Arial" w:cs="Arial"/>
          <w:color w:val="222222"/>
        </w:rPr>
        <w:t xml:space="preserve">2.6. Assim, a aquisição através de Dispensa é </w:t>
      </w:r>
      <w:r>
        <w:rPr>
          <w:rStyle w:val="Forte"/>
          <w:rFonts w:ascii="Arial" w:hAnsi="Arial" w:cs="Arial"/>
          <w:color w:val="222222"/>
        </w:rPr>
        <w:t>medida indispensável e temporária</w:t>
      </w:r>
      <w:r>
        <w:rPr>
          <w:rFonts w:ascii="Arial" w:hAnsi="Arial" w:cs="Arial"/>
          <w:color w:val="222222"/>
        </w:rPr>
        <w:t>, destinada exclusivamente a suprir a necessidade imediata até que o processo regular de aquisição seja concluído, garantindo a manutenção dos serviços de saúde prestados à população de Fundão/ES.</w:t>
      </w:r>
    </w:p>
    <w:p w14:paraId="02113A96" w14:textId="77777777" w:rsidR="00494331" w:rsidRDefault="00000000">
      <w:pPr>
        <w:spacing w:line="360" w:lineRule="auto"/>
        <w:ind w:right="-28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REQUISITOS DE HABILITAÇÃO</w:t>
      </w:r>
    </w:p>
    <w:p w14:paraId="6A0130AE" w14:textId="77777777" w:rsidR="00494331" w:rsidRDefault="00494331">
      <w:pPr>
        <w:pStyle w:val="PargrafodaLista"/>
        <w:spacing w:line="360" w:lineRule="auto"/>
        <w:ind w:left="390" w:right="-285"/>
        <w:rPr>
          <w:b/>
          <w:bCs/>
          <w:sz w:val="24"/>
          <w:szCs w:val="24"/>
        </w:rPr>
      </w:pPr>
    </w:p>
    <w:p w14:paraId="4AB57926" w14:textId="77777777" w:rsidR="00494331" w:rsidRDefault="00000000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  <w:r>
        <w:rPr>
          <w:b/>
          <w:bCs/>
          <w:sz w:val="24"/>
          <w:szCs w:val="24"/>
        </w:rPr>
        <w:t>3.1. HABILITAÇÃO FISCAL, SOCIAL E TRABALHISTA:</w:t>
      </w:r>
    </w:p>
    <w:p w14:paraId="2EF593E7" w14:textId="77777777" w:rsidR="00494331" w:rsidRDefault="00000000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3.1.1. Prova de inscrição no Cadastro Nacional de Pessoas Jurídicas ou no Cadastro de Pessoas Físicas, conforme o caso;</w:t>
      </w:r>
    </w:p>
    <w:p w14:paraId="1E37CA61" w14:textId="77777777" w:rsidR="00494331" w:rsidRDefault="00494331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</w:p>
    <w:p w14:paraId="5D5BAD53" w14:textId="77777777" w:rsidR="00494331" w:rsidRDefault="00000000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 xml:space="preserve">3.1.2. Prova de regularidade fiscal perante a Fazenda Nacional, mediante apresentação de certidão expedida conjuntamente pela Secretaria da Receita Federal do Brasil (RFB) e pela Procuradoria-Geral da Fazenda Nacional (PGFN), referente a todos os créditos tributários federais e à Dívida Ativa da União (DAU) por elas administrados, inclusive aqueles relativos à Seguridade Social, nos </w:t>
      </w:r>
      <w:r>
        <w:rPr>
          <w:sz w:val="24"/>
          <w:szCs w:val="24"/>
        </w:rPr>
        <w:lastRenderedPageBreak/>
        <w:t>termos da Portaria Conjunta nº 1.751, de 02 de outubro de 2014, do Secretário da Receita Federal do Brasil e da Procuradora-Geral da Fazenda Nacional;</w:t>
      </w:r>
    </w:p>
    <w:p w14:paraId="21152AF0" w14:textId="77777777" w:rsidR="00494331" w:rsidRDefault="00494331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</w:p>
    <w:p w14:paraId="441CEE3D" w14:textId="77777777" w:rsidR="00494331" w:rsidRDefault="00000000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3.1.3. Prova de regularidade com o Fundo de Garantia do Tempo de Serviço (FGTS);</w:t>
      </w:r>
    </w:p>
    <w:p w14:paraId="24EC64B7" w14:textId="77777777" w:rsidR="00494331" w:rsidRDefault="00494331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</w:p>
    <w:p w14:paraId="1BE0900F" w14:textId="77777777" w:rsidR="00494331" w:rsidRDefault="00000000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3.1.4. Prova de inexistência de débitos inadimplidos perante a Justiça do Trabalho, mediante a apresentação de certidão negativa ou positiva com efeito de negativa, nos termos do Título VII-A da Consolidação das Leis do Trabalho, aprovada pelo Decreto-Lei nº 5.452, de 1º de maio de 1943;</w:t>
      </w:r>
    </w:p>
    <w:p w14:paraId="11033F2F" w14:textId="77777777" w:rsidR="00494331" w:rsidRDefault="00494331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</w:p>
    <w:p w14:paraId="449B963C" w14:textId="77777777" w:rsidR="00494331" w:rsidRDefault="00000000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3.1.5. Prova de inscrição no cadastro de contribuintes Estadual e Municipal relativo ao domicílio ou sede do fornecedor, pertinente ao seu ramo de atividade e compatível com o objeto contratual;</w:t>
      </w:r>
    </w:p>
    <w:p w14:paraId="1FDF636D" w14:textId="77777777" w:rsidR="00494331" w:rsidRDefault="00494331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</w:p>
    <w:p w14:paraId="57F60817" w14:textId="77777777" w:rsidR="00494331" w:rsidRDefault="00000000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3.1.6. Prova de regularidade com a Fazenda Estadual e Municipal ou Municipal do domicílio ou sede do fornecedor, relativa à atividade em cujo exercício contrata ou concorre;</w:t>
      </w:r>
    </w:p>
    <w:p w14:paraId="14A13CBD" w14:textId="77777777" w:rsidR="00494331" w:rsidRDefault="00494331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</w:p>
    <w:p w14:paraId="08A3E519" w14:textId="77777777" w:rsidR="00494331" w:rsidRDefault="00000000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3.1.7. Caso o fornecedor seja considerado isento dos tributos Estadual ou Municipal relacionados ao objeto contratual, deverá comprovar tal condição mediante a apresentação de declaração da Fazenda respectiva do seu domicílio ou sede, ou outra equivalente, na forma da lei.</w:t>
      </w:r>
    </w:p>
    <w:p w14:paraId="129899AC" w14:textId="77777777" w:rsidR="00494331" w:rsidRDefault="00494331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</w:p>
    <w:p w14:paraId="034C07B2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DA MODALIDADE DE AQUISIÇÃO</w:t>
      </w:r>
    </w:p>
    <w:p w14:paraId="16CFF196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eastAsia="Calibri" w:hAnsi="Arial" w:cs="Arial"/>
          <w:b w:val="0"/>
          <w:bCs w:val="0"/>
        </w:rPr>
      </w:pPr>
      <w:r>
        <w:rPr>
          <w:rFonts w:ascii="Arial" w:eastAsia="Calibri" w:hAnsi="Arial" w:cs="Arial"/>
          <w:b w:val="0"/>
          <w:bCs w:val="0"/>
        </w:rPr>
        <w:t xml:space="preserve">4.1.  Considerando o disposto no art. 75, inc. II, da Lei Federal 14.133/2021, a administração pode optar por dispensar o instrumento licitatório em caso de aquisição ou contratação de pequeno valor, desde que atenda ao limite estabelecido. A intenção é a aquisição através de dispensa, caso após a pesquisa de mercado através do setor competente seja informado valores </w:t>
      </w:r>
      <w:r>
        <w:rPr>
          <w:rFonts w:ascii="Arial" w:eastAsia="Calibri" w:hAnsi="Arial" w:cs="Arial"/>
          <w:b w:val="0"/>
          <w:bCs w:val="0"/>
        </w:rPr>
        <w:lastRenderedPageBreak/>
        <w:t>compatíveis e que atendam ao disposto na legislação.</w:t>
      </w:r>
    </w:p>
    <w:p w14:paraId="4273CAA1" w14:textId="77777777" w:rsidR="00494331" w:rsidRDefault="00494331">
      <w:pPr>
        <w:widowControl w:val="0"/>
        <w:tabs>
          <w:tab w:val="left" w:pos="587"/>
        </w:tabs>
        <w:spacing w:line="360" w:lineRule="auto"/>
        <w:ind w:right="-285"/>
        <w:rPr>
          <w:sz w:val="24"/>
          <w:szCs w:val="24"/>
        </w:rPr>
      </w:pPr>
    </w:p>
    <w:p w14:paraId="6F3169BD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VIGÊNCIA CONTRATUAL</w:t>
      </w:r>
    </w:p>
    <w:p w14:paraId="55B25D0A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eastAsia="Calibri" w:hAnsi="Arial" w:cs="Arial"/>
          <w:b w:val="0"/>
          <w:bCs w:val="0"/>
        </w:rPr>
      </w:pPr>
      <w:r>
        <w:rPr>
          <w:rFonts w:ascii="Arial" w:eastAsia="Calibri" w:hAnsi="Arial" w:cs="Arial"/>
          <w:b w:val="0"/>
          <w:bCs w:val="0"/>
        </w:rPr>
        <w:t xml:space="preserve">5.1- Considerando o disposto no art. 95, da Lei Federal 14.133/2021, em seu inciso II, a administração opta por dispensar o instrumento contratual por se tratar de aquisição de materiais que não necessitam de manutenção e por ser de entrega única. </w:t>
      </w:r>
    </w:p>
    <w:p w14:paraId="36A81955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eastAsia="Calibri" w:hAnsi="Arial" w:cs="Arial"/>
          <w:b w:val="0"/>
          <w:bCs w:val="0"/>
        </w:rPr>
      </w:pPr>
    </w:p>
    <w:p w14:paraId="69E09D68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</w:pPr>
      <w:r>
        <w:rPr>
          <w:rStyle w:val="Forte"/>
          <w:rFonts w:ascii="Arial" w:eastAsia="Calibri" w:hAnsi="Arial" w:cs="Arial"/>
        </w:rPr>
        <w:t>5.2 –</w:t>
      </w:r>
      <w:r>
        <w:rPr>
          <w:rFonts w:ascii="Arial" w:eastAsia="Calibri" w:hAnsi="Arial" w:cs="Arial"/>
          <w:b w:val="0"/>
          <w:bCs w:val="0"/>
        </w:rPr>
        <w:t xml:space="preserve"> Em caso de </w:t>
      </w:r>
      <w:r>
        <w:rPr>
          <w:rStyle w:val="Forte"/>
          <w:rFonts w:ascii="Arial" w:eastAsia="Calibri" w:hAnsi="Arial" w:cs="Arial"/>
        </w:rPr>
        <w:t>troca de marca</w:t>
      </w:r>
      <w:r>
        <w:rPr>
          <w:rFonts w:ascii="Arial" w:eastAsia="Calibri" w:hAnsi="Arial" w:cs="Arial"/>
          <w:b w:val="0"/>
          <w:bCs w:val="0"/>
        </w:rPr>
        <w:t xml:space="preserve">, a empresa contratada deverá seguir o disposto na </w:t>
      </w:r>
      <w:r>
        <w:rPr>
          <w:rStyle w:val="Forte"/>
          <w:rFonts w:ascii="Arial" w:eastAsia="Calibri" w:hAnsi="Arial" w:cs="Arial"/>
        </w:rPr>
        <w:t>Lei Federal nº 14.133/2021</w:t>
      </w:r>
      <w:r>
        <w:rPr>
          <w:rFonts w:ascii="Arial" w:eastAsia="Calibri" w:hAnsi="Arial" w:cs="Arial"/>
          <w:b w:val="0"/>
          <w:bCs w:val="0"/>
        </w:rPr>
        <w:t xml:space="preserve">, enviando </w:t>
      </w:r>
      <w:r>
        <w:rPr>
          <w:rStyle w:val="Forte"/>
          <w:rFonts w:ascii="Arial" w:eastAsia="Calibri" w:hAnsi="Arial" w:cs="Arial"/>
        </w:rPr>
        <w:t>nota técnica justificando a substituição</w:t>
      </w:r>
      <w:r>
        <w:rPr>
          <w:rFonts w:ascii="Arial" w:eastAsia="Calibri" w:hAnsi="Arial" w:cs="Arial"/>
          <w:b w:val="0"/>
          <w:bCs w:val="0"/>
        </w:rPr>
        <w:t xml:space="preserve"> e anexando a </w:t>
      </w:r>
      <w:r>
        <w:rPr>
          <w:rStyle w:val="Forte"/>
          <w:rFonts w:ascii="Arial" w:eastAsia="Calibri" w:hAnsi="Arial" w:cs="Arial"/>
        </w:rPr>
        <w:t>bula do novo medicamento</w:t>
      </w:r>
      <w:r>
        <w:rPr>
          <w:rFonts w:ascii="Arial" w:eastAsia="Calibri" w:hAnsi="Arial" w:cs="Arial"/>
          <w:b w:val="0"/>
          <w:bCs w:val="0"/>
        </w:rPr>
        <w:t xml:space="preserve">, desde que </w:t>
      </w:r>
      <w:r>
        <w:rPr>
          <w:rStyle w:val="Forte"/>
          <w:rFonts w:ascii="Arial" w:eastAsia="Calibri" w:hAnsi="Arial" w:cs="Arial"/>
        </w:rPr>
        <w:t>não haja alteração dos preços pactuados</w:t>
      </w:r>
      <w:r>
        <w:rPr>
          <w:rFonts w:ascii="Arial" w:eastAsia="Calibri" w:hAnsi="Arial" w:cs="Arial"/>
          <w:b w:val="0"/>
          <w:bCs w:val="0"/>
        </w:rPr>
        <w:t xml:space="preserve"> no </w:t>
      </w:r>
      <w:r>
        <w:rPr>
          <w:rStyle w:val="Forte"/>
          <w:rFonts w:ascii="Arial" w:eastAsia="Calibri" w:hAnsi="Arial" w:cs="Arial"/>
        </w:rPr>
        <w:t>Pregão Eletrônico</w:t>
      </w:r>
      <w:r>
        <w:rPr>
          <w:rFonts w:ascii="Arial" w:eastAsia="Calibri" w:hAnsi="Arial" w:cs="Arial"/>
          <w:b w:val="0"/>
          <w:bCs w:val="0"/>
        </w:rPr>
        <w:t>.</w:t>
      </w:r>
    </w:p>
    <w:p w14:paraId="69037C37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eastAsia="Calibri" w:hAnsi="Arial" w:cs="Arial"/>
          <w:b w:val="0"/>
          <w:bCs w:val="0"/>
        </w:rPr>
      </w:pPr>
    </w:p>
    <w:p w14:paraId="45C1373A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</w:pPr>
      <w:r>
        <w:rPr>
          <w:rStyle w:val="Forte"/>
          <w:rFonts w:ascii="Arial" w:eastAsia="Calibri" w:hAnsi="Arial" w:cs="Arial"/>
        </w:rPr>
        <w:t>5.3 –</w:t>
      </w:r>
      <w:r>
        <w:rPr>
          <w:rFonts w:ascii="Arial" w:eastAsia="Calibri" w:hAnsi="Arial" w:cs="Arial"/>
          <w:b w:val="0"/>
          <w:bCs w:val="0"/>
        </w:rPr>
        <w:t xml:space="preserve"> Solicitamos que, a partir da </w:t>
      </w:r>
      <w:r>
        <w:rPr>
          <w:rStyle w:val="Forte"/>
          <w:rFonts w:ascii="Arial" w:eastAsia="Calibri" w:hAnsi="Arial" w:cs="Arial"/>
        </w:rPr>
        <w:t>emissão da Autorização de Fornecimento (AF)</w:t>
      </w:r>
      <w:r>
        <w:rPr>
          <w:rFonts w:ascii="Arial" w:eastAsia="Calibri" w:hAnsi="Arial" w:cs="Arial"/>
          <w:b w:val="0"/>
          <w:bCs w:val="0"/>
        </w:rPr>
        <w:t xml:space="preserve">, seja providenciada a </w:t>
      </w:r>
      <w:r>
        <w:rPr>
          <w:rStyle w:val="Forte"/>
          <w:rFonts w:ascii="Arial" w:eastAsia="Calibri" w:hAnsi="Arial" w:cs="Arial"/>
        </w:rPr>
        <w:t>entrega dos produtos em até 20 (vinte) dias</w:t>
      </w:r>
      <w:r>
        <w:rPr>
          <w:rFonts w:ascii="Arial" w:eastAsia="Calibri" w:hAnsi="Arial" w:cs="Arial"/>
          <w:b w:val="0"/>
          <w:bCs w:val="0"/>
        </w:rPr>
        <w:t>.</w:t>
      </w:r>
      <w:r>
        <w:rPr>
          <w:rFonts w:ascii="Arial" w:eastAsia="Calibri" w:hAnsi="Arial" w:cs="Arial"/>
          <w:b w:val="0"/>
          <w:bCs w:val="0"/>
        </w:rPr>
        <w:br/>
        <w:t xml:space="preserve">Em caso de atraso, a empresa contratada deverá </w:t>
      </w:r>
      <w:r>
        <w:rPr>
          <w:rStyle w:val="Forte"/>
          <w:rFonts w:ascii="Arial" w:eastAsia="Calibri" w:hAnsi="Arial" w:cs="Arial"/>
        </w:rPr>
        <w:t>encaminhar carta ou nota técnica solicitando prorrogação de prazo</w:t>
      </w:r>
      <w:r>
        <w:rPr>
          <w:rFonts w:ascii="Arial" w:eastAsia="Calibri" w:hAnsi="Arial" w:cs="Arial"/>
          <w:b w:val="0"/>
          <w:bCs w:val="0"/>
        </w:rPr>
        <w:t xml:space="preserve">, que </w:t>
      </w:r>
      <w:r>
        <w:rPr>
          <w:rStyle w:val="Forte"/>
          <w:rFonts w:ascii="Arial" w:eastAsia="Calibri" w:hAnsi="Arial" w:cs="Arial"/>
        </w:rPr>
        <w:t>poderá ser concedida uma única vez</w:t>
      </w:r>
      <w:r>
        <w:rPr>
          <w:rFonts w:ascii="Arial" w:eastAsia="Calibri" w:hAnsi="Arial" w:cs="Arial"/>
          <w:b w:val="0"/>
          <w:bCs w:val="0"/>
        </w:rPr>
        <w:t xml:space="preserve">, por até </w:t>
      </w:r>
      <w:r>
        <w:rPr>
          <w:rStyle w:val="Forte"/>
          <w:rFonts w:ascii="Arial" w:eastAsia="Calibri" w:hAnsi="Arial" w:cs="Arial"/>
        </w:rPr>
        <w:t>10 (dez) dias corridos</w:t>
      </w:r>
      <w:r>
        <w:rPr>
          <w:rFonts w:ascii="Arial" w:eastAsia="Calibri" w:hAnsi="Arial" w:cs="Arial"/>
          <w:b w:val="0"/>
          <w:bCs w:val="0"/>
        </w:rPr>
        <w:t xml:space="preserve">, mediante </w:t>
      </w:r>
      <w:r>
        <w:rPr>
          <w:rStyle w:val="Forte"/>
          <w:rFonts w:ascii="Arial" w:eastAsia="Calibri" w:hAnsi="Arial" w:cs="Arial"/>
        </w:rPr>
        <w:t>justificativa devidamente aceita pela Administração</w:t>
      </w:r>
      <w:r>
        <w:rPr>
          <w:rFonts w:ascii="Arial" w:eastAsia="Calibri" w:hAnsi="Arial" w:cs="Arial"/>
          <w:b w:val="0"/>
          <w:bCs w:val="0"/>
        </w:rPr>
        <w:t>.</w:t>
      </w:r>
    </w:p>
    <w:p w14:paraId="20707F78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eastAsia="Calibri" w:hAnsi="Arial" w:cs="Arial"/>
          <w:b w:val="0"/>
          <w:bCs w:val="0"/>
        </w:rPr>
      </w:pPr>
    </w:p>
    <w:p w14:paraId="16D6D871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</w:pPr>
      <w:r>
        <w:rPr>
          <w:rStyle w:val="Forte"/>
          <w:rFonts w:ascii="Arial" w:eastAsia="Calibri" w:hAnsi="Arial" w:cs="Arial"/>
        </w:rPr>
        <w:t>5.4 –</w:t>
      </w:r>
      <w:r>
        <w:rPr>
          <w:rFonts w:ascii="Arial" w:eastAsia="Calibri" w:hAnsi="Arial" w:cs="Arial"/>
          <w:b w:val="0"/>
          <w:bCs w:val="0"/>
        </w:rPr>
        <w:t xml:space="preserve"> A empresa contratada deverá </w:t>
      </w:r>
      <w:r>
        <w:rPr>
          <w:rStyle w:val="Forte"/>
          <w:rFonts w:ascii="Arial" w:eastAsia="Calibri" w:hAnsi="Arial" w:cs="Arial"/>
        </w:rPr>
        <w:t>manter em estoque os medicamentos solicitados</w:t>
      </w:r>
      <w:r>
        <w:rPr>
          <w:rFonts w:ascii="Arial" w:eastAsia="Calibri" w:hAnsi="Arial" w:cs="Arial"/>
          <w:b w:val="0"/>
          <w:bCs w:val="0"/>
        </w:rPr>
        <w:t xml:space="preserve"> na Autorização de Fornecimento, a fim de garantir o cumprimento do prazo de entrega.</w:t>
      </w:r>
      <w:r>
        <w:rPr>
          <w:rFonts w:ascii="Arial" w:eastAsia="Calibri" w:hAnsi="Arial" w:cs="Arial"/>
          <w:b w:val="0"/>
          <w:bCs w:val="0"/>
        </w:rPr>
        <w:br/>
        <w:t xml:space="preserve">O </w:t>
      </w:r>
      <w:r>
        <w:rPr>
          <w:rStyle w:val="Forte"/>
          <w:rFonts w:ascii="Arial" w:eastAsia="Calibri" w:hAnsi="Arial" w:cs="Arial"/>
        </w:rPr>
        <w:t>descumprimento das obrigações contratuais</w:t>
      </w:r>
      <w:r>
        <w:rPr>
          <w:rFonts w:ascii="Arial" w:eastAsia="Calibri" w:hAnsi="Arial" w:cs="Arial"/>
          <w:b w:val="0"/>
          <w:bCs w:val="0"/>
        </w:rPr>
        <w:t xml:space="preserve"> poderá acarretar a </w:t>
      </w:r>
      <w:r>
        <w:rPr>
          <w:rStyle w:val="Forte"/>
          <w:rFonts w:ascii="Arial" w:eastAsia="Calibri" w:hAnsi="Arial" w:cs="Arial"/>
        </w:rPr>
        <w:t xml:space="preserve">aplicação das sanções previstas nos </w:t>
      </w:r>
      <w:proofErr w:type="spellStart"/>
      <w:r>
        <w:rPr>
          <w:rStyle w:val="Forte"/>
          <w:rFonts w:ascii="Arial" w:eastAsia="Calibri" w:hAnsi="Arial" w:cs="Arial"/>
        </w:rPr>
        <w:t>arts</w:t>
      </w:r>
      <w:proofErr w:type="spellEnd"/>
      <w:r>
        <w:rPr>
          <w:rStyle w:val="Forte"/>
          <w:rFonts w:ascii="Arial" w:eastAsia="Calibri" w:hAnsi="Arial" w:cs="Arial"/>
        </w:rPr>
        <w:t>. 156 a 159 da Lei nº 14.133/2021</w:t>
      </w:r>
      <w:r>
        <w:rPr>
          <w:rFonts w:ascii="Arial" w:eastAsia="Calibri" w:hAnsi="Arial" w:cs="Arial"/>
          <w:b w:val="0"/>
          <w:bCs w:val="0"/>
        </w:rPr>
        <w:t xml:space="preserve">, incluindo </w:t>
      </w:r>
      <w:r>
        <w:rPr>
          <w:rStyle w:val="Forte"/>
          <w:rFonts w:ascii="Arial" w:eastAsia="Calibri" w:hAnsi="Arial" w:cs="Arial"/>
        </w:rPr>
        <w:t>advertência, multa, impedimento de licitar e contratar</w:t>
      </w:r>
      <w:r>
        <w:rPr>
          <w:rFonts w:ascii="Arial" w:eastAsia="Calibri" w:hAnsi="Arial" w:cs="Arial"/>
          <w:b w:val="0"/>
          <w:bCs w:val="0"/>
        </w:rPr>
        <w:t xml:space="preserve"> com a Administração Pública e </w:t>
      </w:r>
      <w:r>
        <w:rPr>
          <w:rStyle w:val="Forte"/>
          <w:rFonts w:ascii="Arial" w:eastAsia="Calibri" w:hAnsi="Arial" w:cs="Arial"/>
        </w:rPr>
        <w:t>declaração de inidoneidade</w:t>
      </w:r>
      <w:r>
        <w:rPr>
          <w:rFonts w:ascii="Arial" w:eastAsia="Calibri" w:hAnsi="Arial" w:cs="Arial"/>
          <w:b w:val="0"/>
          <w:bCs w:val="0"/>
        </w:rPr>
        <w:t>, sem prejuízo de outras medidas legais cabíveis.</w:t>
      </w:r>
    </w:p>
    <w:p w14:paraId="4B3A2338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eastAsia="Calibri" w:hAnsi="Arial" w:cs="Arial"/>
          <w:b w:val="0"/>
          <w:bCs w:val="0"/>
        </w:rPr>
      </w:pPr>
    </w:p>
    <w:p w14:paraId="1065EFB7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eastAsia="Calibri" w:hAnsi="Arial" w:cs="Arial"/>
          <w:b w:val="0"/>
          <w:bCs w:val="0"/>
        </w:rPr>
      </w:pPr>
    </w:p>
    <w:p w14:paraId="31AA0730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eastAsia="Calibri" w:hAnsi="Arial" w:cs="Arial"/>
          <w:b w:val="0"/>
          <w:bCs w:val="0"/>
        </w:rPr>
      </w:pPr>
    </w:p>
    <w:p w14:paraId="62E28FC2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DA QUALIFICAÇÃO TÉCNICA</w:t>
      </w:r>
    </w:p>
    <w:p w14:paraId="28B1DEB8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eastAsia="Calibri" w:hAnsi="Arial" w:cs="Arial"/>
          <w:b w:val="0"/>
          <w:bCs w:val="0"/>
        </w:rPr>
      </w:pPr>
      <w:r>
        <w:rPr>
          <w:rFonts w:ascii="Arial" w:eastAsia="Calibri" w:hAnsi="Arial" w:cs="Arial"/>
          <w:b w:val="0"/>
          <w:bCs w:val="0"/>
        </w:rPr>
        <w:t>6.1.  A empresa deverá demonstrar com a apresentação de no mínimo 01 (um) atestado ou declaração fornecida por pessoa jurídica de direito público ou privado, comprovando aptidão para desempenho de atividade compatível com o objeto da presente aquisição, sendo permitida a soma de atestados ou declarações;</w:t>
      </w:r>
    </w:p>
    <w:p w14:paraId="4AB9F922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eastAsia="Calibri" w:hAnsi="Arial" w:cs="Arial"/>
          <w:b w:val="0"/>
          <w:bCs w:val="0"/>
        </w:rPr>
      </w:pPr>
    </w:p>
    <w:p w14:paraId="5B976158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t>7. DOS PRAZOS E DAS CONDIÇÕES DE ENTREGA DOS PRODUTOS</w:t>
      </w:r>
    </w:p>
    <w:p w14:paraId="597E5E8F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t xml:space="preserve">7.1. O prazo de entrega do objeto será de até </w:t>
      </w:r>
      <w:r>
        <w:rPr>
          <w:rFonts w:ascii="Arial" w:hAnsi="Arial"/>
        </w:rPr>
        <w:t>05 (cinco) dias úteis</w:t>
      </w:r>
      <w:r>
        <w:rPr>
          <w:rFonts w:ascii="Arial" w:hAnsi="Arial"/>
          <w:b w:val="0"/>
          <w:bCs w:val="0"/>
        </w:rPr>
        <w:t>, contados a partir do envio da Ordem de Fornecimento emitida pelo Setor de Compras;</w:t>
      </w:r>
    </w:p>
    <w:p w14:paraId="5FFE7BE0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</w:p>
    <w:p w14:paraId="40E317BE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 w:val="0"/>
          <w:bCs w:val="0"/>
        </w:rPr>
        <w:t xml:space="preserve">7.2. Os </w:t>
      </w:r>
      <w:r>
        <w:rPr>
          <w:rFonts w:ascii="Arial" w:eastAsia="Calibri" w:hAnsi="Arial"/>
          <w:b w:val="0"/>
          <w:bCs w:val="0"/>
        </w:rPr>
        <w:t>materiais</w:t>
      </w:r>
      <w:r>
        <w:rPr>
          <w:rFonts w:ascii="Arial" w:hAnsi="Arial"/>
          <w:b w:val="0"/>
          <w:bCs w:val="0"/>
        </w:rPr>
        <w:t xml:space="preserve"> solicitados pelo Fundo Municipal de Saúde deverão ser entregues em remessa única, na Farmácia Básica municipal Avenida Cesar </w:t>
      </w:r>
      <w:proofErr w:type="spellStart"/>
      <w:r>
        <w:rPr>
          <w:rFonts w:ascii="Arial" w:hAnsi="Arial"/>
          <w:b w:val="0"/>
          <w:bCs w:val="0"/>
        </w:rPr>
        <w:t>Pegoretti</w:t>
      </w:r>
      <w:proofErr w:type="spellEnd"/>
      <w:r>
        <w:rPr>
          <w:rFonts w:ascii="Arial" w:hAnsi="Arial"/>
          <w:b w:val="0"/>
          <w:bCs w:val="0"/>
        </w:rPr>
        <w:t xml:space="preserve"> S/N bairro Oséias</w:t>
      </w:r>
      <w:r>
        <w:rPr>
          <w:rFonts w:ascii="Arial" w:hAnsi="Arial"/>
          <w:shd w:val="clear" w:color="auto" w:fill="auto"/>
        </w:rPr>
        <w:t>, Fundão/ES, CEP: 29.185-000</w:t>
      </w:r>
      <w:r>
        <w:rPr>
          <w:rFonts w:ascii="Arial" w:hAnsi="Arial"/>
        </w:rPr>
        <w:t xml:space="preserve">. </w:t>
      </w:r>
      <w:r>
        <w:rPr>
          <w:rFonts w:ascii="Arial" w:hAnsi="Arial"/>
          <w:b w:val="0"/>
          <w:bCs w:val="0"/>
        </w:rPr>
        <w:t>A entrega deverá ser realizada dentro do horário de funcionamento do Almoxarifado da SEMUS, a saber:</w:t>
      </w:r>
      <w:r>
        <w:rPr>
          <w:rFonts w:ascii="Arial" w:hAnsi="Arial"/>
        </w:rPr>
        <w:t xml:space="preserve"> de segunda a sexta-feira, das 7 às 16h;</w:t>
      </w:r>
    </w:p>
    <w:p w14:paraId="6312A5EB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</w:rPr>
      </w:pPr>
    </w:p>
    <w:p w14:paraId="5D7416AA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t>7.3. Será observado, no momento da entrega, a integridade dos materiais e se os mesmos atendem às características especificadas no Termo de Referência. A conferência deverá ser feita com acompanhamento do responsável pela entrega. Não serão recebidos materiais com quaisquer danos físicos ou que não atendam as características especificadas no Termo de Referência;</w:t>
      </w:r>
    </w:p>
    <w:p w14:paraId="49965FFC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</w:p>
    <w:p w14:paraId="28ED136D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t>7.4. O recebimento do objeto não exclui a responsabilidade do fornecedor pelos prejuízos resultantes da incorreta execução do fornecimento.</w:t>
      </w:r>
    </w:p>
    <w:p w14:paraId="2A0EFE03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</w:p>
    <w:p w14:paraId="1C338286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</w:p>
    <w:p w14:paraId="7F230274" w14:textId="77777777" w:rsidR="00494331" w:rsidRDefault="00000000">
      <w:pPr>
        <w:pStyle w:val="Ttulo11"/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8.</w:t>
      </w:r>
      <w:r>
        <w:rPr>
          <w:rFonts w:ascii="Arial" w:hAnsi="Arial"/>
          <w:b w:val="0"/>
          <w:bCs w:val="0"/>
        </w:rPr>
        <w:t xml:space="preserve"> </w:t>
      </w:r>
      <w:r>
        <w:rPr>
          <w:rFonts w:ascii="Arial" w:hAnsi="Arial"/>
        </w:rPr>
        <w:t>DA GARANTIA</w:t>
      </w:r>
    </w:p>
    <w:p w14:paraId="7D2209AF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</w:pPr>
      <w:r>
        <w:rPr>
          <w:rStyle w:val="Forte"/>
          <w:rFonts w:ascii="Arial" w:hAnsi="Arial"/>
        </w:rPr>
        <w:t>8.1.</w:t>
      </w:r>
      <w:r>
        <w:rPr>
          <w:rFonts w:ascii="Arial" w:hAnsi="Arial"/>
          <w:b w:val="0"/>
          <w:bCs w:val="0"/>
        </w:rPr>
        <w:t xml:space="preserve"> Os medicamentos fornecidos deverão estar </w:t>
      </w:r>
      <w:r>
        <w:rPr>
          <w:rStyle w:val="Forte"/>
          <w:rFonts w:ascii="Arial" w:hAnsi="Arial"/>
        </w:rPr>
        <w:t>dentro do prazo de validade mínimo de 12 (doze) meses</w:t>
      </w:r>
      <w:r>
        <w:rPr>
          <w:rFonts w:ascii="Arial" w:hAnsi="Arial"/>
          <w:b w:val="0"/>
          <w:bCs w:val="0"/>
        </w:rPr>
        <w:t xml:space="preserve"> a contar da data de entrega, salvo quando o </w:t>
      </w:r>
      <w:r>
        <w:rPr>
          <w:rStyle w:val="Forte"/>
          <w:rFonts w:ascii="Arial" w:hAnsi="Arial"/>
        </w:rPr>
        <w:t>prazo total de validade do produto for inferior a 12 meses</w:t>
      </w:r>
      <w:r>
        <w:rPr>
          <w:rFonts w:ascii="Arial" w:hAnsi="Arial"/>
          <w:b w:val="0"/>
          <w:bCs w:val="0"/>
        </w:rPr>
        <w:t xml:space="preserve">, caso em que deverá ser garantido </w:t>
      </w:r>
      <w:r>
        <w:rPr>
          <w:rStyle w:val="Forte"/>
          <w:rFonts w:ascii="Arial" w:hAnsi="Arial"/>
        </w:rPr>
        <w:t>no mínimo 2/3 (dois terços) do prazo de validade original</w:t>
      </w:r>
      <w:r>
        <w:rPr>
          <w:rFonts w:ascii="Arial" w:hAnsi="Arial"/>
          <w:b w:val="0"/>
          <w:bCs w:val="0"/>
        </w:rPr>
        <w:t>.</w:t>
      </w:r>
    </w:p>
    <w:p w14:paraId="1DDA6DFF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</w:p>
    <w:p w14:paraId="5FBA8702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</w:pPr>
      <w:r>
        <w:rPr>
          <w:rStyle w:val="Forte"/>
          <w:rFonts w:ascii="Arial" w:hAnsi="Arial"/>
        </w:rPr>
        <w:t>8.2.</w:t>
      </w:r>
      <w:r>
        <w:rPr>
          <w:rFonts w:ascii="Arial" w:hAnsi="Arial"/>
          <w:b w:val="0"/>
          <w:bCs w:val="0"/>
        </w:rPr>
        <w:t xml:space="preserve"> Os produtos deverão ser </w:t>
      </w:r>
      <w:r>
        <w:rPr>
          <w:rStyle w:val="Forte"/>
          <w:rFonts w:ascii="Arial" w:hAnsi="Arial"/>
        </w:rPr>
        <w:t>entregues em perfeitas condições de uso, conservação e embalagem original de fábrica</w:t>
      </w:r>
      <w:r>
        <w:rPr>
          <w:rFonts w:ascii="Arial" w:hAnsi="Arial"/>
          <w:b w:val="0"/>
          <w:bCs w:val="0"/>
        </w:rPr>
        <w:t xml:space="preserve">, devidamente </w:t>
      </w:r>
      <w:r>
        <w:rPr>
          <w:rStyle w:val="Forte"/>
          <w:rFonts w:ascii="Arial" w:hAnsi="Arial"/>
        </w:rPr>
        <w:t>lacrados, sem avarias ou indícios de violação</w:t>
      </w:r>
      <w:r>
        <w:rPr>
          <w:rFonts w:ascii="Arial" w:hAnsi="Arial"/>
          <w:b w:val="0"/>
          <w:bCs w:val="0"/>
        </w:rPr>
        <w:t xml:space="preserve">, e </w:t>
      </w:r>
      <w:r>
        <w:rPr>
          <w:rStyle w:val="Forte"/>
          <w:rFonts w:ascii="Arial" w:hAnsi="Arial"/>
        </w:rPr>
        <w:t>acompanhar suas respectivas bulas e rotulagens atualizadas</w:t>
      </w:r>
      <w:r>
        <w:rPr>
          <w:rFonts w:ascii="Arial" w:hAnsi="Arial"/>
          <w:b w:val="0"/>
          <w:bCs w:val="0"/>
        </w:rPr>
        <w:t xml:space="preserve">, conforme determina a </w:t>
      </w:r>
      <w:r>
        <w:rPr>
          <w:rStyle w:val="Forte"/>
          <w:rFonts w:ascii="Arial" w:hAnsi="Arial"/>
        </w:rPr>
        <w:t>RDC nº 71/2009 da ANVISA</w:t>
      </w:r>
      <w:r>
        <w:rPr>
          <w:rFonts w:ascii="Arial" w:hAnsi="Arial"/>
          <w:b w:val="0"/>
          <w:bCs w:val="0"/>
        </w:rPr>
        <w:t>.</w:t>
      </w:r>
    </w:p>
    <w:p w14:paraId="11DA3A7C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</w:p>
    <w:p w14:paraId="7C0269F4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</w:pPr>
      <w:r>
        <w:rPr>
          <w:rStyle w:val="Forte"/>
          <w:rFonts w:ascii="Arial" w:hAnsi="Arial"/>
        </w:rPr>
        <w:t>8.3.</w:t>
      </w:r>
      <w:r>
        <w:rPr>
          <w:rFonts w:ascii="Arial" w:hAnsi="Arial"/>
          <w:b w:val="0"/>
          <w:bCs w:val="0"/>
        </w:rPr>
        <w:t xml:space="preserve"> A empresa contratada será </w:t>
      </w:r>
      <w:r>
        <w:rPr>
          <w:rStyle w:val="Forte"/>
          <w:rFonts w:ascii="Arial" w:hAnsi="Arial"/>
        </w:rPr>
        <w:t>responsável pela qualidade, integridade e autenticidade dos medicamentos entregues</w:t>
      </w:r>
      <w:r>
        <w:rPr>
          <w:rFonts w:ascii="Arial" w:hAnsi="Arial"/>
          <w:b w:val="0"/>
          <w:bCs w:val="0"/>
        </w:rPr>
        <w:t xml:space="preserve">, bem como pela </w:t>
      </w:r>
      <w:r>
        <w:rPr>
          <w:rStyle w:val="Forte"/>
          <w:rFonts w:ascii="Arial" w:hAnsi="Arial"/>
        </w:rPr>
        <w:t>substituição imediata de quaisquer itens com defeitos de fabricação, irregularidades sanitárias, danos no transporte ou divergências em relação ao pedido</w:t>
      </w:r>
      <w:r>
        <w:rPr>
          <w:rFonts w:ascii="Arial" w:hAnsi="Arial"/>
          <w:b w:val="0"/>
          <w:bCs w:val="0"/>
        </w:rPr>
        <w:t>, sem ônus adicional para a Administração.</w:t>
      </w:r>
    </w:p>
    <w:p w14:paraId="03A7BDB7" w14:textId="77777777" w:rsidR="00494331" w:rsidRDefault="00494331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</w:p>
    <w:p w14:paraId="5525C38F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</w:pPr>
      <w:r>
        <w:rPr>
          <w:rStyle w:val="Forte"/>
          <w:rFonts w:ascii="Arial" w:hAnsi="Arial"/>
        </w:rPr>
        <w:t>8.4.</w:t>
      </w:r>
      <w:r>
        <w:rPr>
          <w:rFonts w:ascii="Arial" w:hAnsi="Arial"/>
          <w:b w:val="0"/>
          <w:bCs w:val="0"/>
        </w:rPr>
        <w:t xml:space="preserve"> O recebimento dos medicamentos fica condicionado à </w:t>
      </w:r>
      <w:r>
        <w:rPr>
          <w:rStyle w:val="Forte"/>
          <w:rFonts w:ascii="Arial" w:hAnsi="Arial"/>
        </w:rPr>
        <w:t>conferência e inspeção</w:t>
      </w:r>
      <w:r>
        <w:rPr>
          <w:rFonts w:ascii="Arial" w:hAnsi="Arial"/>
          <w:b w:val="0"/>
          <w:bCs w:val="0"/>
        </w:rPr>
        <w:t xml:space="preserve"> dos produtos no ato da entrega pela equipe técnica designada, podendo ser </w:t>
      </w:r>
      <w:r>
        <w:rPr>
          <w:rStyle w:val="Forte"/>
          <w:rFonts w:ascii="Arial" w:hAnsi="Arial"/>
        </w:rPr>
        <w:t>recusados</w:t>
      </w:r>
      <w:r>
        <w:rPr>
          <w:rFonts w:ascii="Arial" w:hAnsi="Arial"/>
          <w:b w:val="0"/>
          <w:bCs w:val="0"/>
        </w:rPr>
        <w:t xml:space="preserve"> os itens que </w:t>
      </w:r>
      <w:r>
        <w:rPr>
          <w:rStyle w:val="Forte"/>
          <w:rFonts w:ascii="Arial" w:hAnsi="Arial"/>
        </w:rPr>
        <w:t>não atenderem às especificações do Termo de Referência</w:t>
      </w:r>
      <w:r>
        <w:rPr>
          <w:rFonts w:ascii="Arial" w:hAnsi="Arial"/>
          <w:b w:val="0"/>
          <w:bCs w:val="0"/>
        </w:rPr>
        <w:t>, à legislação sanitária vigente ou às condições pactuadas.</w:t>
      </w:r>
    </w:p>
    <w:p w14:paraId="24CC39FD" w14:textId="77777777" w:rsidR="00494331" w:rsidRDefault="00494331">
      <w:pPr>
        <w:widowControl w:val="0"/>
        <w:tabs>
          <w:tab w:val="left" w:pos="709"/>
        </w:tabs>
        <w:spacing w:line="360" w:lineRule="auto"/>
        <w:ind w:right="130"/>
        <w:rPr>
          <w:rFonts w:eastAsia="Calibri"/>
          <w:sz w:val="24"/>
          <w:szCs w:val="24"/>
        </w:rPr>
      </w:pPr>
    </w:p>
    <w:p w14:paraId="49D96E1C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t>9. DO PAGAMENTO</w:t>
      </w:r>
    </w:p>
    <w:p w14:paraId="356201C9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9.1. O pagamento será de acordo com a entrega do produto, através de nota fiscal emitida pelo fornecedor contendo todas informações sobre os produtos conforme legislação vigente, devendo a empresa vencedora emitir a nota fiscal em nome do Fundo Municipal de Saúde:</w:t>
      </w:r>
    </w:p>
    <w:p w14:paraId="0BEB5F27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5FAE1A8E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t>FUNDO MUNICIPAL DE SAÚDE DE FUNDÃO/ES</w:t>
      </w:r>
    </w:p>
    <w:p w14:paraId="353DAD0D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CNPJ: 14.884.701/0001-45</w:t>
      </w:r>
    </w:p>
    <w:p w14:paraId="1A24A20B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t xml:space="preserve">Endereço: Rua </w:t>
      </w:r>
      <w:proofErr w:type="spellStart"/>
      <w:r>
        <w:rPr>
          <w:b/>
          <w:sz w:val="24"/>
          <w:szCs w:val="24"/>
        </w:rPr>
        <w:t>Everaldino</w:t>
      </w:r>
      <w:proofErr w:type="spellEnd"/>
      <w:r>
        <w:rPr>
          <w:b/>
          <w:sz w:val="24"/>
          <w:szCs w:val="24"/>
        </w:rPr>
        <w:t xml:space="preserve"> Silva, 161, Centro, Fundão, ES.</w:t>
      </w:r>
    </w:p>
    <w:p w14:paraId="0A693D11" w14:textId="77777777" w:rsidR="00494331" w:rsidRDefault="00494331">
      <w:pPr>
        <w:spacing w:line="360" w:lineRule="auto"/>
        <w:ind w:right="-285"/>
        <w:rPr>
          <w:color w:val="FF0000"/>
          <w:sz w:val="24"/>
          <w:szCs w:val="24"/>
        </w:rPr>
      </w:pPr>
    </w:p>
    <w:p w14:paraId="02586A14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 xml:space="preserve">9.2. A nota referente ao fornecimento dos materiais deverá conter todas as certidões de regularidade fiscal, devendo ser liquidadas/atestadas pelo fiscal do fornecimento, podendo ser paga no prazo de até </w:t>
      </w:r>
      <w:r>
        <w:rPr>
          <w:b/>
          <w:sz w:val="24"/>
          <w:szCs w:val="24"/>
        </w:rPr>
        <w:t>30 (trinta) dias</w:t>
      </w:r>
      <w:r>
        <w:rPr>
          <w:sz w:val="24"/>
          <w:szCs w:val="24"/>
        </w:rPr>
        <w:t xml:space="preserve"> após o recebimento da mesma;</w:t>
      </w:r>
    </w:p>
    <w:p w14:paraId="14EA3DE3" w14:textId="77777777" w:rsidR="00494331" w:rsidRDefault="00494331">
      <w:pPr>
        <w:spacing w:line="360" w:lineRule="auto"/>
        <w:ind w:right="-285"/>
        <w:rPr>
          <w:color w:val="FF0000"/>
          <w:sz w:val="24"/>
          <w:szCs w:val="24"/>
        </w:rPr>
      </w:pPr>
    </w:p>
    <w:p w14:paraId="7954DEEB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9.3. Se o fornecimento não for executado conforme as condições deste termo, o pagamento ficará suspenso até o seu recebimento regular;</w:t>
      </w:r>
    </w:p>
    <w:p w14:paraId="47F8C9B8" w14:textId="77777777" w:rsidR="00494331" w:rsidRDefault="00494331">
      <w:pPr>
        <w:spacing w:line="360" w:lineRule="auto"/>
        <w:ind w:right="-285"/>
        <w:rPr>
          <w:color w:val="FF0000"/>
          <w:sz w:val="24"/>
          <w:szCs w:val="24"/>
        </w:rPr>
      </w:pPr>
    </w:p>
    <w:p w14:paraId="2E5F647F" w14:textId="77777777" w:rsidR="00494331" w:rsidRDefault="00000000">
      <w:pPr>
        <w:pStyle w:val="PargrafodaLista"/>
        <w:widowControl w:val="0"/>
        <w:tabs>
          <w:tab w:val="left" w:pos="705"/>
        </w:tabs>
        <w:spacing w:line="360" w:lineRule="auto"/>
        <w:ind w:left="0" w:right="-285"/>
        <w:rPr>
          <w:sz w:val="24"/>
          <w:szCs w:val="24"/>
        </w:rPr>
      </w:pPr>
      <w:r>
        <w:rPr>
          <w:sz w:val="24"/>
          <w:szCs w:val="24"/>
        </w:rPr>
        <w:t>9.4. Ocorrendo erros na apresentação do documento fiscal, o mesmo será devolvido ao fornecedor para correção, ficando estabelecido que o prazo para pagamento será contado a partir da data de apresentação do novo documento fiscal devidamente corrigido.</w:t>
      </w:r>
    </w:p>
    <w:p w14:paraId="1C9F2F03" w14:textId="77777777" w:rsidR="00494331" w:rsidRDefault="00494331">
      <w:pPr>
        <w:pStyle w:val="PargrafodaLista"/>
        <w:widowControl w:val="0"/>
        <w:tabs>
          <w:tab w:val="left" w:pos="705"/>
        </w:tabs>
        <w:spacing w:line="360" w:lineRule="auto"/>
        <w:ind w:left="0" w:right="-285"/>
        <w:rPr>
          <w:sz w:val="24"/>
          <w:szCs w:val="24"/>
        </w:rPr>
      </w:pPr>
    </w:p>
    <w:p w14:paraId="21DB3586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t>10. DA FISCALIZAÇÃO</w:t>
      </w:r>
    </w:p>
    <w:p w14:paraId="71A10854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10.1. Ficará designado como fiscal para acompanhamento e ateste da entrega o servidor lotado no cargo de Coordenador da Assistência Farmacêutica e Gerente da Assistência Farmacêutica.</w:t>
      </w:r>
    </w:p>
    <w:p w14:paraId="49C976A0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50D8B88F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 xml:space="preserve">10.2. O fiscal deverá cumprir e fazer cumprir o disposto </w:t>
      </w:r>
      <w:proofErr w:type="spellStart"/>
      <w:r>
        <w:rPr>
          <w:sz w:val="24"/>
          <w:szCs w:val="24"/>
        </w:rPr>
        <w:t>nas</w:t>
      </w:r>
      <w:proofErr w:type="spellEnd"/>
      <w:r>
        <w:rPr>
          <w:sz w:val="24"/>
          <w:szCs w:val="24"/>
        </w:rPr>
        <w:t xml:space="preserve"> cláusulas deste Termo de Referência sem prejuízo de plena responsabilidade do fornecedor perante o setor demandante ou a terceiros;</w:t>
      </w:r>
    </w:p>
    <w:p w14:paraId="252D1706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4DD9092F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 xml:space="preserve">10.3. O fornecedor será o único e exclusivo responsável pela entrega dos </w:t>
      </w:r>
      <w:r>
        <w:rPr>
          <w:rFonts w:eastAsia="Calibri"/>
          <w:sz w:val="24"/>
          <w:szCs w:val="24"/>
        </w:rPr>
        <w:t>materiais</w:t>
      </w:r>
      <w:r>
        <w:rPr>
          <w:sz w:val="24"/>
          <w:szCs w:val="24"/>
        </w:rPr>
        <w:t>, todavia, ao setor demandante reserva-se o direito de exercer a mais ampla e completa fiscalização;</w:t>
      </w:r>
    </w:p>
    <w:p w14:paraId="1A423F45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7A8202D2" w14:textId="77777777" w:rsidR="00494331" w:rsidRDefault="00000000">
      <w:pPr>
        <w:tabs>
          <w:tab w:val="left" w:pos="925"/>
        </w:tabs>
        <w:spacing w:line="360" w:lineRule="auto"/>
        <w:ind w:right="13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10.4. O fiscal </w:t>
      </w:r>
      <w:r>
        <w:rPr>
          <w:rFonts w:eastAsia="Calibri"/>
          <w:sz w:val="24"/>
          <w:szCs w:val="24"/>
        </w:rPr>
        <w:t>deverá</w:t>
      </w:r>
      <w:r>
        <w:rPr>
          <w:sz w:val="24"/>
          <w:szCs w:val="24"/>
        </w:rPr>
        <w:t xml:space="preserve"> exigir o cumprimento de todos os itens do Termo de Referência e poderá entre outros:</w:t>
      </w:r>
    </w:p>
    <w:p w14:paraId="68B31A70" w14:textId="77777777" w:rsidR="00494331" w:rsidRDefault="00000000">
      <w:pPr>
        <w:tabs>
          <w:tab w:val="left" w:pos="925"/>
        </w:tabs>
        <w:spacing w:line="360" w:lineRule="auto"/>
        <w:ind w:right="130"/>
        <w:rPr>
          <w:sz w:val="24"/>
          <w:szCs w:val="24"/>
        </w:rPr>
      </w:pPr>
      <w:r>
        <w:rPr>
          <w:sz w:val="24"/>
          <w:szCs w:val="24"/>
        </w:rPr>
        <w:t>a) Notificar o fornecedor, por escrito, pela ocorrência de eventuais imperfeições na entrega dos materiais, fixando prazo para sua troca;</w:t>
      </w:r>
    </w:p>
    <w:p w14:paraId="3A0A271C" w14:textId="77777777" w:rsidR="00494331" w:rsidRDefault="00000000">
      <w:pPr>
        <w:tabs>
          <w:tab w:val="left" w:pos="925"/>
        </w:tabs>
        <w:spacing w:line="360" w:lineRule="auto"/>
        <w:ind w:right="130"/>
        <w:rPr>
          <w:sz w:val="24"/>
          <w:szCs w:val="24"/>
        </w:rPr>
      </w:pPr>
      <w:r>
        <w:rPr>
          <w:sz w:val="24"/>
          <w:szCs w:val="24"/>
        </w:rPr>
        <w:t xml:space="preserve">b) Solicitar ao fornecedor, a substituição de qualquer </w:t>
      </w:r>
      <w:r>
        <w:rPr>
          <w:rFonts w:eastAsia="Calibri"/>
          <w:sz w:val="24"/>
          <w:szCs w:val="24"/>
        </w:rPr>
        <w:t>material</w:t>
      </w:r>
      <w:r>
        <w:rPr>
          <w:sz w:val="24"/>
          <w:szCs w:val="24"/>
        </w:rPr>
        <w:t xml:space="preserve"> fornecido que esteja em desacordo com as especificações contidas no Termo de Referência e na proposta. </w:t>
      </w:r>
    </w:p>
    <w:p w14:paraId="328B30A5" w14:textId="77777777" w:rsidR="00494331" w:rsidRDefault="00494331">
      <w:pPr>
        <w:tabs>
          <w:tab w:val="left" w:pos="925"/>
        </w:tabs>
        <w:spacing w:line="360" w:lineRule="auto"/>
        <w:ind w:right="130"/>
        <w:rPr>
          <w:sz w:val="24"/>
          <w:szCs w:val="24"/>
        </w:rPr>
      </w:pPr>
    </w:p>
    <w:p w14:paraId="20D5EAC2" w14:textId="77777777" w:rsidR="00494331" w:rsidRDefault="00000000">
      <w:pPr>
        <w:tabs>
          <w:tab w:val="left" w:pos="709"/>
        </w:tabs>
        <w:spacing w:before="10" w:after="1" w:line="360" w:lineRule="auto"/>
        <w:ind w:right="130"/>
        <w:rPr>
          <w:sz w:val="24"/>
          <w:szCs w:val="24"/>
        </w:rPr>
      </w:pPr>
      <w:r>
        <w:rPr>
          <w:sz w:val="24"/>
          <w:szCs w:val="24"/>
        </w:rPr>
        <w:t>10.5. O fiscal atestará a execução do objeto no documento fiscal correspondente, o que servirá como instrumento de avaliação do cumprimento das obrigações assumidas e constituirá requisito indispensável para a liberação do pagamento.</w:t>
      </w:r>
    </w:p>
    <w:p w14:paraId="499BCC86" w14:textId="77777777" w:rsidR="00494331" w:rsidRDefault="00494331">
      <w:pPr>
        <w:spacing w:line="360" w:lineRule="auto"/>
        <w:ind w:right="-285"/>
        <w:rPr>
          <w:color w:val="FF0000"/>
        </w:rPr>
      </w:pPr>
    </w:p>
    <w:p w14:paraId="7902056C" w14:textId="77777777" w:rsidR="00494331" w:rsidRDefault="00000000">
      <w:pPr>
        <w:spacing w:line="360" w:lineRule="auto"/>
        <w:ind w:right="-285"/>
        <w:rPr>
          <w:b/>
          <w:sz w:val="24"/>
          <w:szCs w:val="24"/>
        </w:rPr>
      </w:pPr>
      <w:r>
        <w:rPr>
          <w:b/>
          <w:sz w:val="24"/>
          <w:szCs w:val="24"/>
        </w:rPr>
        <w:t>11. OBRIGAÇÕES DO FUNDO MUNICIPAL DE SAÚDE</w:t>
      </w:r>
    </w:p>
    <w:p w14:paraId="5D96EAC8" w14:textId="77777777" w:rsidR="00494331" w:rsidRDefault="00000000">
      <w:pPr>
        <w:pStyle w:val="PargrafodaLista"/>
        <w:tabs>
          <w:tab w:val="left" w:pos="284"/>
          <w:tab w:val="left" w:pos="709"/>
        </w:tabs>
        <w:spacing w:line="360" w:lineRule="auto"/>
        <w:ind w:left="0" w:right="-285"/>
        <w:rPr>
          <w:bCs/>
          <w:sz w:val="24"/>
          <w:szCs w:val="24"/>
        </w:rPr>
      </w:pPr>
      <w:r>
        <w:rPr>
          <w:bCs/>
          <w:sz w:val="24"/>
          <w:szCs w:val="24"/>
        </w:rPr>
        <w:t>11.1. Receber o objeto no prazo e condições estabelecidas no Termo de Referência;</w:t>
      </w:r>
    </w:p>
    <w:p w14:paraId="01B9DFE3" w14:textId="77777777" w:rsidR="00494331" w:rsidRDefault="00494331">
      <w:pPr>
        <w:pStyle w:val="PargrafodaLista"/>
        <w:tabs>
          <w:tab w:val="left" w:pos="284"/>
          <w:tab w:val="left" w:pos="709"/>
        </w:tabs>
        <w:spacing w:line="360" w:lineRule="auto"/>
        <w:ind w:left="0"/>
        <w:rPr>
          <w:bCs/>
          <w:sz w:val="24"/>
          <w:szCs w:val="24"/>
        </w:rPr>
      </w:pPr>
    </w:p>
    <w:p w14:paraId="52CECA26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11.2. Cumprir com todos os compromissos financeiros assumidos com o fornecedor;</w:t>
      </w:r>
    </w:p>
    <w:p w14:paraId="622E06F8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1ACE4FE8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11.3. Verificar minuciosamente a conformidade dos materiais recebidos com as especificações constantes neste Termo, para fins de aceitação e recebimento do objeto;</w:t>
      </w:r>
    </w:p>
    <w:p w14:paraId="77DC3BC3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56EDA8CA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11.4. Notificar, formal e tempestivamente, o fornecedor sobre irregularidades observadas no cumprimento das obrigações assumidas, para que sejam adotadas as medidas pertinentes;</w:t>
      </w:r>
    </w:p>
    <w:p w14:paraId="76713E72" w14:textId="77777777" w:rsidR="00494331" w:rsidRDefault="00494331">
      <w:pPr>
        <w:spacing w:line="360" w:lineRule="auto"/>
        <w:ind w:right="-285"/>
        <w:rPr>
          <w:color w:val="FF0000"/>
          <w:sz w:val="24"/>
          <w:szCs w:val="24"/>
        </w:rPr>
      </w:pPr>
    </w:p>
    <w:p w14:paraId="71759F49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11.5. Aplicar as sanções administrativas pertinentes, em caso de inadimplemento;</w:t>
      </w:r>
    </w:p>
    <w:p w14:paraId="486CA7BC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0B6BA6A6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lastRenderedPageBreak/>
        <w:t>11.6. É de responsabilidade do Fundo Municipal de Saúde prestar ao fornecedor todos os esclarecimentos necessários para a execução do fornecimento e demais informações que esta venha a solicitar para o desempenho do fornecimento;</w:t>
      </w:r>
    </w:p>
    <w:p w14:paraId="3BE4EF7E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58C48FA9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11.7. Comunicar prontamente ao fornecedor, qualquer anormalidade no objeto deste Termo de Referência, podendo recusar o recebimento, caso não esteja de acordo com as especificações e condições estabelecidas, neste termo.</w:t>
      </w:r>
    </w:p>
    <w:p w14:paraId="07C82CE6" w14:textId="77777777" w:rsidR="00494331" w:rsidRDefault="00494331">
      <w:pPr>
        <w:spacing w:line="360" w:lineRule="auto"/>
        <w:ind w:right="-285"/>
        <w:rPr>
          <w:color w:val="FF0000"/>
        </w:rPr>
      </w:pPr>
    </w:p>
    <w:p w14:paraId="256F399D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t>12. DAS OBRIGAÇÕES DO FORNECEDOR</w:t>
      </w:r>
    </w:p>
    <w:p w14:paraId="37020F82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12.1. Manter as condições de habilitação e qualificação exigidas, em compatibilidade com as obrigações assumidas, durante todo o processo de fornecimento, informando ao Fundo Municipal de Saúde a ocorrência de qualquer alteração nas referidas condições;</w:t>
      </w:r>
    </w:p>
    <w:p w14:paraId="6519AF0A" w14:textId="77777777" w:rsidR="00494331" w:rsidRDefault="00494331">
      <w:pPr>
        <w:spacing w:line="360" w:lineRule="auto"/>
        <w:ind w:right="-285"/>
        <w:rPr>
          <w:color w:val="FF0000"/>
          <w:sz w:val="24"/>
          <w:szCs w:val="24"/>
        </w:rPr>
      </w:pPr>
    </w:p>
    <w:p w14:paraId="255CF10B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12.2. Entregar os produtos em estrita conformidade com as especificações contidas no Termo de Referência e proposta de preços apresentada, à qual se vincula, não sendo admitidas retificações, cancelamentos, quer seja de preços, quer seja nas condições estabelecidas;</w:t>
      </w:r>
    </w:p>
    <w:p w14:paraId="799807BD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586DC835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12.3. Comunicar ao Fundo Municipal de Saúde, imediatamente, a ocorrência de qualquer fato que possa implicar no atraso da entrega dos produtos solicitados, ficando reservado o direito ao Fundo Municipal de Saúde de aceitar ou rejeitar a justificativa;</w:t>
      </w:r>
    </w:p>
    <w:p w14:paraId="06A67E7C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3C4F1DBC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12.4. O fornecedor deverá responsabilizar-se pelo fornecimento, respondendo civil e criminalmente por todos os danos, perdas e prejuízos que, por dolo ou culpa sua, de seus empregados ou terceiros no exercício de suas atividades, vier a direta ou indiretamente, causar ou provocar ao Fundo Municipal de Saúde e a terceiros;</w:t>
      </w:r>
    </w:p>
    <w:p w14:paraId="42348219" w14:textId="77777777" w:rsidR="00494331" w:rsidRDefault="00494331">
      <w:pPr>
        <w:spacing w:line="360" w:lineRule="auto"/>
        <w:ind w:right="-285"/>
        <w:rPr>
          <w:color w:val="FF0000"/>
          <w:sz w:val="24"/>
          <w:szCs w:val="24"/>
        </w:rPr>
      </w:pPr>
    </w:p>
    <w:p w14:paraId="736FD9E3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lastRenderedPageBreak/>
        <w:t>12.5. Certificar-se, preliminarmente, de todas as condições exigidas no Termo de Referência, não sendo levada em consideração qualquer argumentação posterior de desconhecimento;</w:t>
      </w:r>
    </w:p>
    <w:p w14:paraId="2506CD62" w14:textId="77777777" w:rsidR="00494331" w:rsidRDefault="00494331">
      <w:pPr>
        <w:spacing w:line="360" w:lineRule="auto"/>
        <w:ind w:right="-285"/>
        <w:rPr>
          <w:color w:val="FF0000"/>
          <w:sz w:val="24"/>
          <w:szCs w:val="24"/>
        </w:rPr>
      </w:pPr>
    </w:p>
    <w:p w14:paraId="1101DC15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12.6. Comunicar, imediatamente e por escrito, a Administração Municipal, toda e qualquer irregularidade ou dificuldade que impossibilite a execução do fornecimento para que sejam adotadas as providências de regularização necessária;</w:t>
      </w:r>
    </w:p>
    <w:p w14:paraId="0F64BCF1" w14:textId="77777777" w:rsidR="00494331" w:rsidRDefault="00494331">
      <w:pPr>
        <w:spacing w:line="360" w:lineRule="auto"/>
        <w:ind w:right="-285"/>
        <w:rPr>
          <w:color w:val="FF0000"/>
          <w:sz w:val="24"/>
          <w:szCs w:val="24"/>
        </w:rPr>
      </w:pPr>
    </w:p>
    <w:p w14:paraId="26B11C94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12.7. Havendo divergência entre os materiais solicitados, o fiscal do fornecimento efetuará a notificação à empresa para que sejam sanadas as possíveis irregularidades no prazo fixado, devidamente justificado;</w:t>
      </w:r>
    </w:p>
    <w:p w14:paraId="73A227FD" w14:textId="77777777" w:rsidR="00494331" w:rsidRDefault="00494331">
      <w:pPr>
        <w:spacing w:line="360" w:lineRule="auto"/>
        <w:ind w:right="-285"/>
        <w:rPr>
          <w:color w:val="FF0000"/>
          <w:sz w:val="24"/>
          <w:szCs w:val="24"/>
        </w:rPr>
      </w:pPr>
    </w:p>
    <w:p w14:paraId="2EE50707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12.8. Cumprir com outras obrigações decorrentes da aplicação do Código de Proteção e Defesa do Consumidor, conforme Lei nº 8.078/98, que sejam compatíveis com o regime de direito público;</w:t>
      </w:r>
    </w:p>
    <w:p w14:paraId="234B6399" w14:textId="77777777" w:rsidR="00494331" w:rsidRDefault="00494331">
      <w:pPr>
        <w:ind w:right="-285"/>
        <w:rPr>
          <w:color w:val="FF0000"/>
          <w:sz w:val="24"/>
          <w:szCs w:val="24"/>
        </w:rPr>
      </w:pPr>
    </w:p>
    <w:p w14:paraId="1E38A612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12.9. Correrá por conta da contratada as despesas com deslocamento, para a execução do fornecimento.</w:t>
      </w:r>
    </w:p>
    <w:p w14:paraId="7E47D0EF" w14:textId="77777777" w:rsidR="00494331" w:rsidRDefault="00494331">
      <w:pPr>
        <w:spacing w:line="360" w:lineRule="auto"/>
        <w:ind w:right="-285"/>
        <w:rPr>
          <w:color w:val="FF0000"/>
        </w:rPr>
      </w:pPr>
    </w:p>
    <w:p w14:paraId="24275D35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t>13. DESCRIÇÃO DA SOLUÇÃO COMO UM TODO</w:t>
      </w:r>
    </w:p>
    <w:p w14:paraId="152F81D0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13.1. O Fundo Municipal de Saúde visa adquirir medicamentos para atender os munícipes, nas intermediações de Fundão/ES.</w:t>
      </w:r>
    </w:p>
    <w:p w14:paraId="5A93CDF2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73509E65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13.2. As aquisições dos materiais serão realizadas através de Dispensa de Valor, considerando ser uma aquisição de pequeno valor e a legislação em vigor permitir.</w:t>
      </w:r>
    </w:p>
    <w:p w14:paraId="76D96E97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0E749843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 xml:space="preserve">13.3. Serão julgados como empresas vencedoras as que ofertarem a melhor proposta, qual seja, a proposta que discrimine o menor valor. A definição dos </w:t>
      </w:r>
      <w:r>
        <w:rPr>
          <w:sz w:val="24"/>
          <w:szCs w:val="24"/>
        </w:rPr>
        <w:lastRenderedPageBreak/>
        <w:t xml:space="preserve">vencedores será feita item </w:t>
      </w:r>
      <w:proofErr w:type="gramStart"/>
      <w:r>
        <w:rPr>
          <w:sz w:val="24"/>
          <w:szCs w:val="24"/>
        </w:rPr>
        <w:t>à</w:t>
      </w:r>
      <w:proofErr w:type="gramEnd"/>
      <w:r>
        <w:rPr>
          <w:sz w:val="24"/>
          <w:szCs w:val="24"/>
        </w:rPr>
        <w:t xml:space="preserve"> item, podendo haver mais de uma empresa na relação de fornecedores vencedores.</w:t>
      </w:r>
    </w:p>
    <w:p w14:paraId="2A01EA21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267FB8C6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 xml:space="preserve">13.4. Por ser uma dispensa de licitação, com entrega única e sem assistência técnica, a Equipe de Planejamento decidiu por dispensar a elaboração do instrumento contratual (art. 95, </w:t>
      </w:r>
      <w:proofErr w:type="spellStart"/>
      <w:r>
        <w:rPr>
          <w:sz w:val="24"/>
          <w:szCs w:val="24"/>
        </w:rPr>
        <w:t>incs</w:t>
      </w:r>
      <w:proofErr w:type="spellEnd"/>
      <w:r>
        <w:rPr>
          <w:sz w:val="24"/>
          <w:szCs w:val="24"/>
        </w:rPr>
        <w:t>. I e II, 14.133/2021).</w:t>
      </w:r>
    </w:p>
    <w:p w14:paraId="0CE05408" w14:textId="77777777" w:rsidR="00494331" w:rsidRDefault="00494331">
      <w:pPr>
        <w:spacing w:line="360" w:lineRule="auto"/>
        <w:ind w:right="-285"/>
        <w:rPr>
          <w:color w:val="FF0000"/>
        </w:rPr>
      </w:pPr>
    </w:p>
    <w:p w14:paraId="1504710E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14. VALOR ESTIMADO DA AQUISIÇÃO</w:t>
      </w:r>
    </w:p>
    <w:p w14:paraId="6671D7C3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bCs w:val="0"/>
        </w:rPr>
        <w:t>14.1.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 w:val="0"/>
        </w:rPr>
        <w:t>O valor estimado será equivalente ao valor orçado pelo setor competente através da respectiva pesquisa de mercado. Serão recolhidos, com empresas do ramo, a quantidade mínima de 03 (três) orçamentos, sendo declarada vencedora a empresa que ofertar a proposta mais vantajosa, e que atenda a especificação mínima exigida.</w:t>
      </w:r>
    </w:p>
    <w:p w14:paraId="386F3E17" w14:textId="77777777" w:rsidR="00494331" w:rsidRDefault="00494331">
      <w:pPr>
        <w:spacing w:line="360" w:lineRule="auto"/>
        <w:ind w:right="-285"/>
        <w:rPr>
          <w:color w:val="FF0000"/>
        </w:rPr>
      </w:pPr>
    </w:p>
    <w:p w14:paraId="1EADC190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t>15. DAS SANÇÕES</w:t>
      </w:r>
    </w:p>
    <w:p w14:paraId="0AE7768D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15.1. O atraso injustificado no fornecimento dos materiais sujeitará a empresa às seguintes penalidades:</w:t>
      </w:r>
    </w:p>
    <w:p w14:paraId="6CBBAC67" w14:textId="77777777" w:rsidR="00494331" w:rsidRDefault="00494331">
      <w:pPr>
        <w:spacing w:line="360" w:lineRule="auto"/>
        <w:ind w:right="-285"/>
        <w:rPr>
          <w:sz w:val="24"/>
          <w:szCs w:val="24"/>
        </w:rPr>
      </w:pPr>
    </w:p>
    <w:p w14:paraId="76D1D98F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A) Advertência por escrito;</w:t>
      </w:r>
    </w:p>
    <w:p w14:paraId="6B9443C0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B) Multa de 0,3% (três décimos por cento) sobre o valor do fornecimento por dia de atraso, até o limite de 30 (trinta) dias após o qual será caracterizada a execução total do fornecimento;</w:t>
      </w:r>
    </w:p>
    <w:p w14:paraId="31F7FFE2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C) Multa compensatória de 10% (dez por cento) sobre o valor da execução;</w:t>
      </w:r>
    </w:p>
    <w:p w14:paraId="12204092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D) Suspensão temporária de participação em licitação e impedimento de contratar com a Administração Pública, por um prazo não superior a 02 (dois) anos;</w:t>
      </w:r>
    </w:p>
    <w:p w14:paraId="7A59CEBE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E) Declaração de inidoneidade para licitar ou contratar com a Administração Pública enquanto perdurarem os motivos determinantes da punição ou até que seja promovida a reabilitação.</w:t>
      </w:r>
    </w:p>
    <w:p w14:paraId="625D4795" w14:textId="77777777" w:rsidR="00494331" w:rsidRDefault="00494331">
      <w:pPr>
        <w:spacing w:line="360" w:lineRule="auto"/>
        <w:ind w:right="-285"/>
      </w:pPr>
    </w:p>
    <w:p w14:paraId="2F900302" w14:textId="77777777" w:rsidR="00494331" w:rsidRDefault="00000000">
      <w:pPr>
        <w:spacing w:before="120" w:line="360" w:lineRule="auto"/>
        <w:ind w:left="142" w:right="130" w:hanging="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16. </w:t>
      </w:r>
      <w:r>
        <w:rPr>
          <w:b/>
          <w:bCs/>
          <w:sz w:val="24"/>
          <w:szCs w:val="24"/>
        </w:rPr>
        <w:tab/>
        <w:t>DO REAJUSTE</w:t>
      </w:r>
    </w:p>
    <w:p w14:paraId="42D04270" w14:textId="77777777" w:rsidR="00494331" w:rsidRDefault="00000000">
      <w:pPr>
        <w:pStyle w:val="Ttulo11"/>
        <w:numPr>
          <w:ilvl w:val="0"/>
          <w:numId w:val="0"/>
        </w:numPr>
        <w:spacing w:line="360" w:lineRule="auto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lastRenderedPageBreak/>
        <w:t>16.1. Os preços são fixos e irreajustáveis.</w:t>
      </w:r>
    </w:p>
    <w:p w14:paraId="4A918CF1" w14:textId="77777777" w:rsidR="00494331" w:rsidRDefault="00494331">
      <w:pPr>
        <w:spacing w:line="360" w:lineRule="auto"/>
        <w:ind w:right="-285"/>
        <w:rPr>
          <w:color w:val="FF0000"/>
        </w:rPr>
      </w:pPr>
    </w:p>
    <w:p w14:paraId="4CD8D39D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/>
          <w:sz w:val="24"/>
          <w:szCs w:val="24"/>
        </w:rPr>
        <w:t>17. DAS DOTAÇÕES ORÇAMENTÁRIAS</w:t>
      </w:r>
    </w:p>
    <w:p w14:paraId="353B149D" w14:textId="77777777" w:rsidR="00494331" w:rsidRDefault="00000000">
      <w:pPr>
        <w:spacing w:line="360" w:lineRule="auto"/>
        <w:ind w:right="-285"/>
        <w:rPr>
          <w:sz w:val="24"/>
          <w:szCs w:val="24"/>
        </w:rPr>
      </w:pPr>
      <w:r>
        <w:rPr>
          <w:bCs/>
          <w:sz w:val="24"/>
          <w:szCs w:val="24"/>
        </w:rPr>
        <w:t>17.1 As dotações orçamentárias envolvidas serão informadas pelo Setor Contábil/SEMUS em momento oportuno.</w:t>
      </w:r>
    </w:p>
    <w:p w14:paraId="36929810" w14:textId="77777777" w:rsidR="00494331" w:rsidRDefault="00494331">
      <w:pPr>
        <w:spacing w:line="360" w:lineRule="auto"/>
        <w:ind w:right="-285"/>
        <w:jc w:val="right"/>
      </w:pPr>
    </w:p>
    <w:p w14:paraId="30E06D2A" w14:textId="77777777" w:rsidR="00494331" w:rsidRDefault="00000000">
      <w:pPr>
        <w:spacing w:line="360" w:lineRule="auto"/>
        <w:ind w:right="-285"/>
        <w:jc w:val="right"/>
      </w:pPr>
      <w:r>
        <w:t>Fundão/ES, 09 de outubro de 2025.</w:t>
      </w:r>
    </w:p>
    <w:p w14:paraId="2CC8A572" w14:textId="77777777" w:rsidR="00494331" w:rsidRDefault="00494331">
      <w:pPr>
        <w:spacing w:line="360" w:lineRule="auto"/>
        <w:ind w:right="-285"/>
        <w:jc w:val="center"/>
        <w:rPr>
          <w:b/>
          <w:bCs/>
          <w:sz w:val="24"/>
          <w:szCs w:val="24"/>
        </w:rPr>
      </w:pPr>
    </w:p>
    <w:p w14:paraId="287FE14E" w14:textId="77777777" w:rsidR="00494331" w:rsidRDefault="00494331">
      <w:pPr>
        <w:spacing w:line="360" w:lineRule="auto"/>
        <w:ind w:right="-285"/>
        <w:jc w:val="center"/>
        <w:rPr>
          <w:b/>
          <w:bCs/>
          <w:sz w:val="24"/>
          <w:szCs w:val="24"/>
        </w:rPr>
      </w:pPr>
    </w:p>
    <w:p w14:paraId="4CF32D79" w14:textId="77777777" w:rsidR="00494331" w:rsidRDefault="00494331">
      <w:pPr>
        <w:spacing w:line="360" w:lineRule="auto"/>
        <w:ind w:right="-285"/>
        <w:jc w:val="center"/>
        <w:rPr>
          <w:b/>
          <w:bCs/>
          <w:sz w:val="24"/>
          <w:szCs w:val="24"/>
        </w:rPr>
      </w:pPr>
    </w:p>
    <w:p w14:paraId="28246761" w14:textId="77777777" w:rsidR="00494331" w:rsidRDefault="00494331">
      <w:pPr>
        <w:spacing w:line="360" w:lineRule="auto"/>
        <w:ind w:right="-285"/>
        <w:jc w:val="center"/>
        <w:rPr>
          <w:b/>
          <w:bCs/>
          <w:sz w:val="24"/>
          <w:szCs w:val="24"/>
        </w:rPr>
      </w:pPr>
    </w:p>
    <w:p w14:paraId="179EC7B6" w14:textId="77777777" w:rsidR="00494331" w:rsidRDefault="00000000">
      <w:pPr>
        <w:spacing w:line="360" w:lineRule="auto"/>
        <w:ind w:right="-28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Aline Cristian Barbosa</w:t>
      </w:r>
    </w:p>
    <w:p w14:paraId="416051EE" w14:textId="77777777" w:rsidR="00494331" w:rsidRDefault="00000000">
      <w:pPr>
        <w:spacing w:line="360" w:lineRule="auto"/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Presidente da Equipe</w:t>
      </w:r>
    </w:p>
    <w:p w14:paraId="2733F5DF" w14:textId="77777777" w:rsidR="00494331" w:rsidRDefault="00494331">
      <w:pPr>
        <w:spacing w:line="360" w:lineRule="auto"/>
        <w:ind w:right="-285"/>
        <w:jc w:val="center"/>
        <w:rPr>
          <w:b/>
          <w:bCs/>
          <w:sz w:val="24"/>
          <w:szCs w:val="24"/>
        </w:rPr>
      </w:pPr>
    </w:p>
    <w:p w14:paraId="0F6C40C2" w14:textId="77777777" w:rsidR="00494331" w:rsidRDefault="00494331">
      <w:pPr>
        <w:spacing w:line="360" w:lineRule="auto"/>
        <w:ind w:right="-285"/>
      </w:pPr>
    </w:p>
    <w:p w14:paraId="46FD16A9" w14:textId="77777777" w:rsidR="00494331" w:rsidRDefault="00494331">
      <w:pPr>
        <w:spacing w:line="360" w:lineRule="auto"/>
        <w:ind w:right="-285"/>
      </w:pPr>
    </w:p>
    <w:p w14:paraId="765B3678" w14:textId="77777777" w:rsidR="00494331" w:rsidRDefault="00000000">
      <w:pPr>
        <w:spacing w:line="360" w:lineRule="auto"/>
        <w:ind w:right="-285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Franckson</w:t>
      </w:r>
      <w:proofErr w:type="spellEnd"/>
      <w:r>
        <w:rPr>
          <w:b/>
          <w:bCs/>
          <w:sz w:val="24"/>
          <w:szCs w:val="24"/>
        </w:rPr>
        <w:t xml:space="preserve"> Fernandes Loureiro</w:t>
      </w:r>
    </w:p>
    <w:p w14:paraId="24459B12" w14:textId="77777777" w:rsidR="00494331" w:rsidRDefault="00000000">
      <w:pPr>
        <w:spacing w:line="360" w:lineRule="auto"/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Integrante Administrativo                                                                                            </w:t>
      </w:r>
    </w:p>
    <w:p w14:paraId="1D5AD696" w14:textId="77777777" w:rsidR="00494331" w:rsidRDefault="00494331">
      <w:pPr>
        <w:spacing w:line="360" w:lineRule="auto"/>
        <w:ind w:right="-285"/>
        <w:jc w:val="center"/>
        <w:rPr>
          <w:b/>
          <w:bCs/>
        </w:rPr>
      </w:pPr>
    </w:p>
    <w:p w14:paraId="40E6F230" w14:textId="77777777" w:rsidR="00494331" w:rsidRDefault="00494331">
      <w:pPr>
        <w:spacing w:line="360" w:lineRule="auto"/>
        <w:ind w:right="-285"/>
        <w:jc w:val="center"/>
        <w:rPr>
          <w:b/>
          <w:bCs/>
        </w:rPr>
      </w:pPr>
    </w:p>
    <w:p w14:paraId="76E5F007" w14:textId="77777777" w:rsidR="00494331" w:rsidRDefault="00494331">
      <w:pPr>
        <w:spacing w:line="360" w:lineRule="auto"/>
        <w:ind w:right="-285"/>
        <w:jc w:val="center"/>
        <w:rPr>
          <w:b/>
          <w:bCs/>
        </w:rPr>
      </w:pPr>
    </w:p>
    <w:p w14:paraId="6E363F84" w14:textId="77777777" w:rsidR="00494331" w:rsidRDefault="00000000">
      <w:pPr>
        <w:spacing w:line="360" w:lineRule="auto"/>
        <w:ind w:right="-285"/>
        <w:jc w:val="center"/>
        <w:rPr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 xml:space="preserve">Ariane Terra Figueiredo Alvarenga </w:t>
      </w:r>
      <w:proofErr w:type="spellStart"/>
      <w:r>
        <w:rPr>
          <w:b/>
          <w:bCs/>
          <w:sz w:val="24"/>
          <w:szCs w:val="24"/>
          <w:shd w:val="clear" w:color="auto" w:fill="FFFFFF"/>
        </w:rPr>
        <w:t>Tregnago</w:t>
      </w:r>
      <w:proofErr w:type="spellEnd"/>
    </w:p>
    <w:p w14:paraId="322F9846" w14:textId="77777777" w:rsidR="00494331" w:rsidRDefault="00000000">
      <w:pPr>
        <w:spacing w:line="360" w:lineRule="auto"/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Integrante Administrativo</w:t>
      </w:r>
    </w:p>
    <w:sectPr w:rsidR="004943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426" w:footer="54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EA15" w14:textId="77777777" w:rsidR="004F04C9" w:rsidRDefault="004F04C9">
      <w:r>
        <w:separator/>
      </w:r>
    </w:p>
  </w:endnote>
  <w:endnote w:type="continuationSeparator" w:id="0">
    <w:p w14:paraId="14888033" w14:textId="77777777" w:rsidR="004F04C9" w:rsidRDefault="004F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;Arial Unicode MS"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DDB2" w14:textId="77777777" w:rsidR="00494331" w:rsidRDefault="0049433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05AE" w14:textId="77777777" w:rsidR="00494331" w:rsidRDefault="00494331">
    <w:pPr>
      <w:pStyle w:val="Rodap"/>
      <w:rPr>
        <w:rFonts w:eastAsia="Arial Unicode MS"/>
        <w:b/>
        <w:sz w:val="4"/>
        <w:szCs w:val="4"/>
      </w:rPr>
    </w:pPr>
  </w:p>
  <w:p w14:paraId="568B9450" w14:textId="77777777" w:rsidR="00494331" w:rsidRDefault="00000000">
    <w:pPr>
      <w:pStyle w:val="Rodap"/>
      <w:jc w:val="center"/>
    </w:pPr>
    <w:r>
      <w:rPr>
        <w:rFonts w:eastAsia="Arial Unicode MS"/>
        <w:b/>
        <w:sz w:val="16"/>
        <w:szCs w:val="16"/>
      </w:rPr>
      <w:t xml:space="preserve">Av. Cesar </w:t>
    </w:r>
    <w:proofErr w:type="spellStart"/>
    <w:r>
      <w:rPr>
        <w:rFonts w:eastAsia="Arial Unicode MS"/>
        <w:b/>
        <w:sz w:val="16"/>
        <w:szCs w:val="16"/>
      </w:rPr>
      <w:t>Pegoratti</w:t>
    </w:r>
    <w:proofErr w:type="spellEnd"/>
    <w:r>
      <w:rPr>
        <w:rFonts w:eastAsia="Arial Unicode MS"/>
        <w:b/>
        <w:sz w:val="16"/>
        <w:szCs w:val="16"/>
      </w:rPr>
      <w:t>, s/n, bairro Oséias, Fundão/ES, CEP 29.185.000</w:t>
    </w:r>
  </w:p>
  <w:p w14:paraId="43C5B26E" w14:textId="77777777" w:rsidR="00494331" w:rsidRDefault="00000000">
    <w:pPr>
      <w:pStyle w:val="Rodap"/>
      <w:jc w:val="center"/>
    </w:pPr>
    <w:r>
      <w:rPr>
        <w:rFonts w:eastAsia="Arial Unicode MS"/>
        <w:b/>
        <w:sz w:val="16"/>
        <w:szCs w:val="16"/>
      </w:rPr>
      <w:t>(27) 98174-1509/ fundaofarmacia@gmail.com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056A3" w14:textId="77777777" w:rsidR="00494331" w:rsidRDefault="00494331">
    <w:pPr>
      <w:pStyle w:val="Rodap"/>
      <w:rPr>
        <w:rFonts w:eastAsia="Arial Unicode MS"/>
        <w:b/>
        <w:sz w:val="4"/>
        <w:szCs w:val="4"/>
      </w:rPr>
    </w:pPr>
  </w:p>
  <w:p w14:paraId="6D2894C9" w14:textId="77777777" w:rsidR="00494331" w:rsidRDefault="00000000">
    <w:pPr>
      <w:pStyle w:val="Rodap"/>
      <w:jc w:val="center"/>
    </w:pPr>
    <w:r>
      <w:rPr>
        <w:rFonts w:eastAsia="Arial Unicode MS"/>
        <w:b/>
        <w:sz w:val="16"/>
        <w:szCs w:val="16"/>
      </w:rPr>
      <w:t xml:space="preserve">Av. Cesar </w:t>
    </w:r>
    <w:proofErr w:type="spellStart"/>
    <w:r>
      <w:rPr>
        <w:rFonts w:eastAsia="Arial Unicode MS"/>
        <w:b/>
        <w:sz w:val="16"/>
        <w:szCs w:val="16"/>
      </w:rPr>
      <w:t>Pegoratti</w:t>
    </w:r>
    <w:proofErr w:type="spellEnd"/>
    <w:r>
      <w:rPr>
        <w:rFonts w:eastAsia="Arial Unicode MS"/>
        <w:b/>
        <w:sz w:val="16"/>
        <w:szCs w:val="16"/>
      </w:rPr>
      <w:t>, s/n, bairro Oséias, Fundão/ES, CEP 29.185.000</w:t>
    </w:r>
  </w:p>
  <w:p w14:paraId="48E0E099" w14:textId="77777777" w:rsidR="00494331" w:rsidRDefault="00000000">
    <w:pPr>
      <w:pStyle w:val="Rodap"/>
      <w:jc w:val="center"/>
    </w:pPr>
    <w:r>
      <w:rPr>
        <w:rFonts w:eastAsia="Arial Unicode MS"/>
        <w:b/>
        <w:sz w:val="16"/>
        <w:szCs w:val="16"/>
      </w:rPr>
      <w:t>(27) 98174-1509/ fundaofarmacia@gmail.com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13EF8" w14:textId="77777777" w:rsidR="004F04C9" w:rsidRDefault="004F04C9">
      <w:r>
        <w:separator/>
      </w:r>
    </w:p>
  </w:footnote>
  <w:footnote w:type="continuationSeparator" w:id="0">
    <w:p w14:paraId="3249230B" w14:textId="77777777" w:rsidR="004F04C9" w:rsidRDefault="004F0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7C89" w14:textId="77777777" w:rsidR="00494331" w:rsidRDefault="0049433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ootlight MT Light" w:eastAsia="Times New Roman" w:hAnsi="Footlight MT Light" w:cs="Times New Roman"/>
        <w:b/>
        <w:i/>
        <w:sz w:val="44"/>
        <w:szCs w:val="20"/>
        <w:lang w:eastAsia="pt-BR"/>
      </w:rPr>
      <w:id w:val="1011203052"/>
      <w:docPartObj>
        <w:docPartGallery w:val="Page Numbers (Top of Page)"/>
        <w:docPartUnique/>
      </w:docPartObj>
    </w:sdtPr>
    <w:sdtContent>
      <w:p w14:paraId="331081F6" w14:textId="77777777" w:rsidR="00494331" w:rsidRDefault="00000000">
        <w:pPr>
          <w:pStyle w:val="Cabealho"/>
          <w:jc w:val="center"/>
        </w:pPr>
        <w:r>
          <w:rPr>
            <w:noProof/>
          </w:rPr>
          <w:drawing>
            <wp:inline distT="0" distB="0" distL="0" distR="0" wp14:anchorId="74A23CC3" wp14:editId="0F020D10">
              <wp:extent cx="771525" cy="685800"/>
              <wp:effectExtent l="0" t="0" r="0" b="0"/>
              <wp:docPr id="1" name="Imagem 2" descr="Descrição: Fundao_ES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2" descr="Descrição: Fundao_ES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1525" cy="6858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1B569A21" w14:textId="77777777" w:rsidR="00494331" w:rsidRDefault="00494331">
        <w:pPr>
          <w:pStyle w:val="Ttulo9"/>
          <w:ind w:firstLine="0"/>
          <w:rPr>
            <w:rFonts w:asciiTheme="minorHAnsi" w:hAnsiTheme="minorHAnsi"/>
            <w:i w:val="0"/>
            <w:sz w:val="10"/>
            <w:szCs w:val="10"/>
          </w:rPr>
        </w:pPr>
      </w:p>
      <w:p w14:paraId="64639CB5" w14:textId="77777777" w:rsidR="00494331" w:rsidRDefault="00000000">
        <w:pPr>
          <w:pStyle w:val="Ttulo9"/>
        </w:pPr>
        <w:r>
          <w:rPr>
            <w:rFonts w:asciiTheme="minorHAnsi" w:hAnsiTheme="minorHAnsi"/>
            <w:i w:val="0"/>
            <w:sz w:val="28"/>
            <w:szCs w:val="28"/>
          </w:rPr>
          <w:t>Prefeitura Municipal de Fundão</w:t>
        </w:r>
      </w:p>
      <w:p w14:paraId="5C7FB8D9" w14:textId="77777777" w:rsidR="00494331" w:rsidRDefault="00000000">
        <w:pPr>
          <w:pStyle w:val="Ttulo9"/>
        </w:pPr>
        <w:r>
          <w:rPr>
            <w:rFonts w:asciiTheme="minorHAnsi" w:hAnsiTheme="minorHAnsi"/>
            <w:i w:val="0"/>
            <w:sz w:val="24"/>
            <w:szCs w:val="24"/>
          </w:rPr>
          <w:t>Secretaria Municipal de Saúde/FMS</w:t>
        </w:r>
      </w:p>
    </w:sdtContent>
  </w:sdt>
  <w:p w14:paraId="2AE348A8" w14:textId="77777777" w:rsidR="00494331" w:rsidRDefault="00000000">
    <w:pPr>
      <w:pStyle w:val="Cabealho"/>
      <w:jc w:val="center"/>
    </w:pPr>
    <w:r>
      <w:rPr>
        <w:rFonts w:asciiTheme="minorHAnsi" w:hAnsiTheme="minorHAnsi" w:cs="Times New Roman"/>
        <w:b/>
        <w:sz w:val="20"/>
        <w:szCs w:val="20"/>
      </w:rPr>
      <w:t>CNPJ 14.884.701/0001-45</w:t>
    </w:r>
  </w:p>
  <w:p w14:paraId="6C67171E" w14:textId="77777777" w:rsidR="00494331" w:rsidRDefault="00494331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ootlight MT Light" w:eastAsia="Times New Roman" w:hAnsi="Footlight MT Light" w:cs="Times New Roman"/>
        <w:b/>
        <w:i/>
        <w:sz w:val="44"/>
        <w:szCs w:val="20"/>
        <w:lang w:eastAsia="pt-BR"/>
      </w:rPr>
      <w:id w:val="476343104"/>
      <w:docPartObj>
        <w:docPartGallery w:val="Page Numbers (Top of Page)"/>
        <w:docPartUnique/>
      </w:docPartObj>
    </w:sdtPr>
    <w:sdtContent>
      <w:p w14:paraId="470E98EA" w14:textId="77777777" w:rsidR="00494331" w:rsidRDefault="00000000">
        <w:pPr>
          <w:pStyle w:val="Cabealho"/>
          <w:jc w:val="center"/>
        </w:pPr>
        <w:r>
          <w:rPr>
            <w:noProof/>
          </w:rPr>
          <w:drawing>
            <wp:inline distT="0" distB="0" distL="0" distR="0" wp14:anchorId="5CBBDAFA" wp14:editId="2DCCA38E">
              <wp:extent cx="771525" cy="685800"/>
              <wp:effectExtent l="0" t="0" r="0" b="0"/>
              <wp:docPr id="2" name="Imagem 2" descr="Descrição: Fundao_ES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 descr="Descrição: Fundao_ES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1525" cy="6858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160D19C9" w14:textId="77777777" w:rsidR="00494331" w:rsidRDefault="00494331">
        <w:pPr>
          <w:pStyle w:val="Ttulo9"/>
          <w:ind w:firstLine="0"/>
          <w:rPr>
            <w:rFonts w:asciiTheme="minorHAnsi" w:hAnsiTheme="minorHAnsi"/>
            <w:i w:val="0"/>
            <w:sz w:val="10"/>
            <w:szCs w:val="10"/>
          </w:rPr>
        </w:pPr>
      </w:p>
      <w:p w14:paraId="0FA2E028" w14:textId="77777777" w:rsidR="00494331" w:rsidRDefault="00000000">
        <w:pPr>
          <w:pStyle w:val="Ttulo9"/>
        </w:pPr>
        <w:r>
          <w:rPr>
            <w:rFonts w:asciiTheme="minorHAnsi" w:hAnsiTheme="minorHAnsi"/>
            <w:i w:val="0"/>
            <w:sz w:val="28"/>
            <w:szCs w:val="28"/>
          </w:rPr>
          <w:t>Prefeitura Municipal de Fundão</w:t>
        </w:r>
      </w:p>
      <w:p w14:paraId="767E117B" w14:textId="77777777" w:rsidR="00494331" w:rsidRDefault="00000000">
        <w:pPr>
          <w:pStyle w:val="Ttulo9"/>
        </w:pPr>
        <w:r>
          <w:rPr>
            <w:rFonts w:asciiTheme="minorHAnsi" w:hAnsiTheme="minorHAnsi"/>
            <w:i w:val="0"/>
            <w:sz w:val="24"/>
            <w:szCs w:val="24"/>
          </w:rPr>
          <w:t>Secretaria Municipal de Saúde/FMS</w:t>
        </w:r>
      </w:p>
    </w:sdtContent>
  </w:sdt>
  <w:p w14:paraId="5D71894D" w14:textId="77777777" w:rsidR="00494331" w:rsidRDefault="00000000">
    <w:pPr>
      <w:pStyle w:val="Cabealho"/>
      <w:jc w:val="center"/>
    </w:pPr>
    <w:r>
      <w:rPr>
        <w:rFonts w:asciiTheme="minorHAnsi" w:hAnsiTheme="minorHAnsi" w:cs="Times New Roman"/>
        <w:b/>
        <w:sz w:val="20"/>
        <w:szCs w:val="20"/>
      </w:rPr>
      <w:t>CNPJ 14.884.701/0001-45</w:t>
    </w:r>
  </w:p>
  <w:p w14:paraId="67AD4548" w14:textId="77777777" w:rsidR="00494331" w:rsidRDefault="0049433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34B6"/>
    <w:multiLevelType w:val="multilevel"/>
    <w:tmpl w:val="AB2EA01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14860C0E"/>
    <w:multiLevelType w:val="multilevel"/>
    <w:tmpl w:val="3A6A644A"/>
    <w:lvl w:ilvl="0">
      <w:start w:val="1"/>
      <w:numFmt w:val="decimal"/>
      <w:pStyle w:val="Ttulo11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lang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7849D9"/>
    <w:multiLevelType w:val="multilevel"/>
    <w:tmpl w:val="A3043C6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b/>
        <w:color w:val="000000"/>
        <w:sz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b w:val="0"/>
        <w:bCs/>
        <w:color w:val="00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color w:val="00000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  <w:color w:val="000000"/>
        <w:sz w:val="24"/>
      </w:rPr>
    </w:lvl>
  </w:abstractNum>
  <w:abstractNum w:abstractNumId="3" w15:restartNumberingAfterBreak="0">
    <w:nsid w:val="4EBF4CD9"/>
    <w:multiLevelType w:val="multilevel"/>
    <w:tmpl w:val="E19CDC14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lang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09" w:hanging="709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1549" w:hanging="699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889" w:hanging="1047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0"/>
        </w:tabs>
        <w:ind w:left="2287" w:hanging="1047"/>
      </w:p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1300" w:hanging="1047"/>
      </w:pPr>
      <w:rPr>
        <w:rFonts w:ascii="Symbol" w:hAnsi="Symbol" w:cs="Symbol" w:hint="default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1380" w:hanging="1047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1580" w:hanging="1047"/>
      </w:pPr>
      <w:rPr>
        <w:rFonts w:ascii="Symbol" w:hAnsi="Symbol" w:cs="Symbol" w:hint="default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1860" w:hanging="1047"/>
      </w:pPr>
      <w:rPr>
        <w:rFonts w:ascii="Symbol" w:hAnsi="Symbol" w:cs="Symbol" w:hint="default"/>
      </w:rPr>
    </w:lvl>
  </w:abstractNum>
  <w:abstractNum w:abstractNumId="4" w15:restartNumberingAfterBreak="0">
    <w:nsid w:val="62657A4E"/>
    <w:multiLevelType w:val="multilevel"/>
    <w:tmpl w:val="785CD0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69717424"/>
    <w:multiLevelType w:val="multilevel"/>
    <w:tmpl w:val="C5E698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185832">
    <w:abstractNumId w:val="4"/>
  </w:num>
  <w:num w:numId="2" w16cid:durableId="1890416644">
    <w:abstractNumId w:val="1"/>
  </w:num>
  <w:num w:numId="3" w16cid:durableId="1604344262">
    <w:abstractNumId w:val="3"/>
  </w:num>
  <w:num w:numId="4" w16cid:durableId="1688829387">
    <w:abstractNumId w:val="2"/>
  </w:num>
  <w:num w:numId="5" w16cid:durableId="1447889682">
    <w:abstractNumId w:val="0"/>
  </w:num>
  <w:num w:numId="6" w16cid:durableId="1905413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31"/>
    <w:rsid w:val="00494331"/>
    <w:rsid w:val="004F04C9"/>
    <w:rsid w:val="0061200B"/>
    <w:rsid w:val="00A8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7E91"/>
  <w15:docId w15:val="{1C1E4C27-8731-4FB6-8508-961AC01D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66"/>
    <w:pPr>
      <w:jc w:val="both"/>
    </w:pPr>
  </w:style>
  <w:style w:type="paragraph" w:styleId="Ttulo1">
    <w:name w:val="heading 1"/>
    <w:basedOn w:val="Normal"/>
    <w:link w:val="Ttulo1Char"/>
    <w:uiPriority w:val="9"/>
    <w:qFormat/>
    <w:rsid w:val="00500C7E"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9">
    <w:name w:val="heading 9"/>
    <w:basedOn w:val="Normal"/>
    <w:next w:val="Normal"/>
    <w:link w:val="Ttulo9Char"/>
    <w:unhideWhenUsed/>
    <w:qFormat/>
    <w:rsid w:val="00A8112B"/>
    <w:pPr>
      <w:keepNext/>
      <w:ind w:hanging="142"/>
      <w:jc w:val="center"/>
      <w:outlineLvl w:val="8"/>
    </w:pPr>
    <w:rPr>
      <w:rFonts w:ascii="Footlight MT Light" w:eastAsia="Times New Roman" w:hAnsi="Footlight MT Light" w:cs="Times New Roman"/>
      <w:b/>
      <w:i/>
      <w:sz w:val="4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1321B6"/>
  </w:style>
  <w:style w:type="character" w:customStyle="1" w:styleId="RodapChar">
    <w:name w:val="Rodapé Char"/>
    <w:basedOn w:val="Fontepargpadro"/>
    <w:link w:val="Rodap"/>
    <w:uiPriority w:val="99"/>
    <w:qFormat/>
    <w:rsid w:val="001321B6"/>
  </w:style>
  <w:style w:type="character" w:customStyle="1" w:styleId="Ttulo9Char">
    <w:name w:val="Título 9 Char"/>
    <w:basedOn w:val="Fontepargpadro"/>
    <w:link w:val="Ttulo9"/>
    <w:qFormat/>
    <w:rsid w:val="00A8112B"/>
    <w:rPr>
      <w:rFonts w:ascii="Footlight MT Light" w:eastAsia="Times New Roman" w:hAnsi="Footlight MT Light" w:cs="Times New Roman"/>
      <w:b/>
      <w:i/>
      <w:sz w:val="44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112B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7A11C0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CC28A0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qFormat/>
    <w:rsid w:val="00500C7E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Marcadoresuser">
    <w:name w:val="Marcadores (user)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CC28A0"/>
    <w:pPr>
      <w:widowControl w:val="0"/>
      <w:spacing w:after="140" w:line="276" w:lineRule="auto"/>
      <w:jc w:val="left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rsid w:val="00500C7E"/>
    <w:pPr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321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321B6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13539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112B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7A11C0"/>
    <w:rPr>
      <w:rFonts w:ascii="Arial Narrow" w:eastAsia="Times New Roman" w:hAnsi="Arial Narrow" w:cs="Arial Narrow"/>
      <w:color w:val="000000"/>
      <w:sz w:val="24"/>
      <w:szCs w:val="24"/>
      <w:lang w:eastAsia="pt-BR"/>
    </w:rPr>
  </w:style>
  <w:style w:type="paragraph" w:customStyle="1" w:styleId="Standard">
    <w:name w:val="Standard"/>
    <w:qFormat/>
    <w:rsid w:val="00CC28A0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qFormat/>
    <w:rsid w:val="00CC28A0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rsid w:val="00500C7E"/>
    <w:pPr>
      <w:widowControl w:val="0"/>
      <w:suppressLineNumbers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SemEspaamento">
    <w:name w:val="No Spacing"/>
    <w:uiPriority w:val="1"/>
    <w:qFormat/>
    <w:rsid w:val="00500C7E"/>
    <w:pPr>
      <w:jc w:val="center"/>
    </w:pPr>
    <w:rPr>
      <w:rFonts w:asciiTheme="minorHAnsi" w:eastAsia="Calibri" w:hAnsiTheme="minorHAnsi" w:cstheme="minorBidi"/>
    </w:rPr>
  </w:style>
  <w:style w:type="paragraph" w:customStyle="1" w:styleId="Ttulo11">
    <w:name w:val="Título 11"/>
    <w:basedOn w:val="Normal"/>
    <w:uiPriority w:val="9"/>
    <w:qFormat/>
    <w:rsid w:val="004B6E04"/>
    <w:pPr>
      <w:widowControl w:val="0"/>
      <w:numPr>
        <w:numId w:val="2"/>
      </w:numPr>
      <w:tabs>
        <w:tab w:val="left" w:pos="522"/>
        <w:tab w:val="left" w:pos="10643"/>
      </w:tabs>
      <w:spacing w:before="51"/>
      <w:jc w:val="left"/>
      <w:outlineLvl w:val="0"/>
    </w:pPr>
    <w:rPr>
      <w:rFonts w:asciiTheme="minorHAnsi" w:hAnsiTheme="minorHAnsi" w:cs="Calibri"/>
      <w:b/>
      <w:bCs/>
      <w:sz w:val="24"/>
      <w:szCs w:val="24"/>
      <w:shd w:val="clear" w:color="auto" w:fill="FFFFFF"/>
    </w:rPr>
  </w:style>
  <w:style w:type="paragraph" w:customStyle="1" w:styleId="Contedodatabelauser">
    <w:name w:val="Conteúdo da tabela (user)"/>
    <w:basedOn w:val="Normal"/>
    <w:qFormat/>
    <w:pPr>
      <w:widowControl w:val="0"/>
      <w:suppressLineNumbers/>
    </w:pPr>
  </w:style>
  <w:style w:type="paragraph" w:customStyle="1" w:styleId="Ttulodetabelauser">
    <w:name w:val="Título de tabela (user)"/>
    <w:basedOn w:val="Contedodatabelauser"/>
    <w:qFormat/>
    <w:pPr>
      <w:jc w:val="center"/>
    </w:pPr>
    <w:rPr>
      <w:b/>
      <w:bCs/>
    </w:rPr>
  </w:style>
  <w:style w:type="numbering" w:customStyle="1" w:styleId="Listaatual1">
    <w:name w:val="Lista atual1"/>
    <w:uiPriority w:val="99"/>
    <w:qFormat/>
    <w:rsid w:val="00850E12"/>
  </w:style>
  <w:style w:type="numbering" w:customStyle="1" w:styleId="WW8Num2">
    <w:name w:val="WW8Num2"/>
    <w:qFormat/>
  </w:style>
  <w:style w:type="table" w:styleId="Tabelacomgrade">
    <w:name w:val="Table Grid"/>
    <w:basedOn w:val="Tabelanormal"/>
    <w:uiPriority w:val="39"/>
    <w:rsid w:val="00CF7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AB43C-2ADD-40B5-8032-B4AA971F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2819</Words>
  <Characters>15225</Characters>
  <Application>Microsoft Office Word</Application>
  <DocSecurity>0</DocSecurity>
  <Lines>126</Lines>
  <Paragraphs>36</Paragraphs>
  <ScaleCrop>false</ScaleCrop>
  <Company>PMF</Company>
  <LinksUpToDate>false</LinksUpToDate>
  <CharactersWithSpaces>18008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HOST01</dc:creator>
  <dc:description/>
  <cp:lastModifiedBy>User</cp:lastModifiedBy>
  <cp:revision>2</cp:revision>
  <cp:lastPrinted>2025-03-14T13:45:00Z</cp:lastPrinted>
  <dcterms:created xsi:type="dcterms:W3CDTF">2025-10-15T12:00:00Z</dcterms:created>
  <dcterms:modified xsi:type="dcterms:W3CDTF">2025-10-15T12:00:00Z</dcterms:modified>
  <dc:language>pt-BR</dc:language>
</cp:coreProperties>
</file>